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98712" w14:textId="3F378E34" w:rsidR="006A297E" w:rsidRPr="00045B84" w:rsidRDefault="00A23406">
      <w:pPr>
        <w:snapToGrid w:val="0"/>
        <w:spacing w:before="156" w:afterLines="100" w:after="312" w:line="560" w:lineRule="exact"/>
        <w:rPr>
          <w:rFonts w:ascii="Times New Roman" w:eastAsia="黑体" w:hAnsi="Times New Roman" w:cs="Times New Roman"/>
          <w:b/>
          <w:sz w:val="32"/>
          <w:szCs w:val="32"/>
        </w:rPr>
      </w:pPr>
      <w:bookmarkStart w:id="0" w:name="_Toc13344"/>
      <w:r w:rsidRPr="00045B84">
        <w:rPr>
          <w:rFonts w:ascii="Times New Roman" w:eastAsia="黑体" w:hAnsi="Times New Roman" w:cs="Times New Roman"/>
          <w:bCs/>
          <w:sz w:val="32"/>
          <w:szCs w:val="32"/>
        </w:rPr>
        <w:t>附件</w:t>
      </w:r>
      <w:r w:rsidR="00051AB5">
        <w:rPr>
          <w:rFonts w:ascii="Times New Roman" w:eastAsia="黑体" w:hAnsi="Times New Roman" w:cs="Times New Roman" w:hint="eastAsia"/>
          <w:bCs/>
          <w:sz w:val="32"/>
          <w:szCs w:val="32"/>
        </w:rPr>
        <w:t>3</w:t>
      </w:r>
    </w:p>
    <w:p w14:paraId="382F8E2A" w14:textId="77777777" w:rsidR="006A297E" w:rsidRPr="00045B84" w:rsidRDefault="006A297E">
      <w:pPr>
        <w:snapToGrid w:val="0"/>
        <w:spacing w:before="156" w:after="156" w:line="288" w:lineRule="auto"/>
        <w:jc w:val="center"/>
        <w:rPr>
          <w:rFonts w:ascii="Times New Roman" w:eastAsia="黑体" w:hAnsi="Times New Roman" w:cs="Times New Roman"/>
          <w:bCs/>
          <w:sz w:val="32"/>
          <w:szCs w:val="32"/>
        </w:rPr>
      </w:pPr>
    </w:p>
    <w:p w14:paraId="136DA5D2" w14:textId="77777777" w:rsidR="006A297E" w:rsidRDefault="006A297E">
      <w:pPr>
        <w:snapToGrid w:val="0"/>
        <w:spacing w:before="156" w:after="156" w:line="288" w:lineRule="auto"/>
        <w:ind w:firstLine="1120"/>
        <w:jc w:val="center"/>
        <w:rPr>
          <w:rFonts w:ascii="Times New Roman" w:eastAsia="黑体" w:hAnsi="Times New Roman" w:cs="Times New Roman"/>
          <w:b/>
          <w:sz w:val="56"/>
          <w:szCs w:val="56"/>
        </w:rPr>
      </w:pPr>
    </w:p>
    <w:p w14:paraId="0017DF85" w14:textId="77777777" w:rsidR="005305A8" w:rsidRPr="00045B84" w:rsidRDefault="005305A8">
      <w:pPr>
        <w:snapToGrid w:val="0"/>
        <w:spacing w:before="156" w:after="156" w:line="288" w:lineRule="auto"/>
        <w:ind w:firstLine="1120"/>
        <w:jc w:val="center"/>
        <w:rPr>
          <w:rFonts w:ascii="Times New Roman" w:eastAsia="黑体" w:hAnsi="Times New Roman" w:cs="Times New Roman"/>
          <w:b/>
          <w:sz w:val="56"/>
          <w:szCs w:val="56"/>
        </w:rPr>
      </w:pPr>
    </w:p>
    <w:p w14:paraId="707F247B" w14:textId="77777777" w:rsidR="006A297E" w:rsidRPr="009F3FC8" w:rsidRDefault="00B132CA" w:rsidP="001B1635">
      <w:pPr>
        <w:snapToGrid w:val="0"/>
        <w:spacing w:before="156" w:after="156" w:line="240" w:lineRule="auto"/>
        <w:jc w:val="center"/>
        <w:rPr>
          <w:rFonts w:ascii="Times New Roman" w:eastAsia="黑体" w:hAnsi="Times New Roman" w:cs="Times New Roman"/>
          <w:b/>
          <w:bCs/>
          <w:sz w:val="72"/>
          <w:szCs w:val="72"/>
          <w14:ligatures w14:val="none"/>
        </w:rPr>
      </w:pPr>
      <w:r w:rsidRPr="009F3FC8">
        <w:rPr>
          <w:rFonts w:ascii="Times New Roman" w:eastAsia="黑体" w:hAnsi="Times New Roman" w:cs="Times New Roman"/>
          <w:b/>
          <w:bCs/>
          <w:sz w:val="72"/>
          <w:szCs w:val="72"/>
          <w14:ligatures w14:val="none"/>
        </w:rPr>
        <w:t>化妆品与包材相容性</w:t>
      </w:r>
      <w:r w:rsidR="00E0743C">
        <w:rPr>
          <w:rFonts w:ascii="Times New Roman" w:eastAsia="黑体" w:hAnsi="Times New Roman" w:cs="Times New Roman" w:hint="eastAsia"/>
          <w:b/>
          <w:bCs/>
          <w:sz w:val="72"/>
          <w:szCs w:val="72"/>
          <w14:ligatures w14:val="none"/>
        </w:rPr>
        <w:t>测试评估</w:t>
      </w:r>
      <w:r w:rsidR="00E0743C" w:rsidRPr="009F3FC8">
        <w:rPr>
          <w:rFonts w:ascii="Times New Roman" w:eastAsia="黑体" w:hAnsi="Times New Roman" w:cs="Times New Roman"/>
          <w:b/>
          <w:bCs/>
          <w:sz w:val="72"/>
          <w:szCs w:val="72"/>
          <w14:ligatures w14:val="none"/>
        </w:rPr>
        <w:t>技术</w:t>
      </w:r>
      <w:r w:rsidRPr="009F3FC8">
        <w:rPr>
          <w:rFonts w:ascii="Times New Roman" w:eastAsia="黑体" w:hAnsi="Times New Roman" w:cs="Times New Roman"/>
          <w:b/>
          <w:bCs/>
          <w:sz w:val="72"/>
          <w:szCs w:val="72"/>
          <w14:ligatures w14:val="none"/>
        </w:rPr>
        <w:t>指南</w:t>
      </w:r>
    </w:p>
    <w:bookmarkEnd w:id="0"/>
    <w:p w14:paraId="102AB79D" w14:textId="77777777" w:rsidR="006A297E" w:rsidRDefault="006A297E">
      <w:pPr>
        <w:spacing w:before="156" w:after="156"/>
        <w:ind w:firstLine="880"/>
        <w:rPr>
          <w:rFonts w:ascii="Times New Roman" w:eastAsia="仿宋" w:hAnsi="Times New Roman" w:cs="Times New Roman"/>
          <w:b/>
          <w:sz w:val="44"/>
          <w:szCs w:val="44"/>
        </w:rPr>
      </w:pPr>
    </w:p>
    <w:p w14:paraId="13A6B1E7" w14:textId="77777777" w:rsidR="00482F0D" w:rsidRPr="00482F0D" w:rsidRDefault="00482F0D">
      <w:pPr>
        <w:spacing w:before="156" w:after="156"/>
        <w:ind w:firstLine="880"/>
        <w:rPr>
          <w:rFonts w:ascii="Times New Roman" w:eastAsia="仿宋" w:hAnsi="Times New Roman" w:cs="Times New Roman"/>
          <w:b/>
          <w:sz w:val="44"/>
          <w:szCs w:val="44"/>
        </w:rPr>
      </w:pPr>
    </w:p>
    <w:p w14:paraId="51D2C206" w14:textId="77777777" w:rsidR="006A297E" w:rsidRDefault="006A297E">
      <w:pPr>
        <w:spacing w:before="156" w:after="156"/>
        <w:ind w:firstLine="880"/>
        <w:rPr>
          <w:rFonts w:ascii="Times New Roman" w:eastAsia="仿宋" w:hAnsi="Times New Roman" w:cs="Times New Roman"/>
          <w:b/>
          <w:sz w:val="44"/>
          <w:szCs w:val="44"/>
        </w:rPr>
      </w:pPr>
    </w:p>
    <w:p w14:paraId="13CE765D" w14:textId="77777777" w:rsidR="00482F0D" w:rsidRPr="00045B84" w:rsidRDefault="00482F0D">
      <w:pPr>
        <w:spacing w:before="156" w:after="156"/>
        <w:ind w:firstLine="880"/>
        <w:rPr>
          <w:rFonts w:ascii="Times New Roman" w:eastAsia="仿宋" w:hAnsi="Times New Roman" w:cs="Times New Roman"/>
          <w:b/>
          <w:sz w:val="44"/>
          <w:szCs w:val="44"/>
        </w:rPr>
      </w:pPr>
    </w:p>
    <w:p w14:paraId="1D6A3EAB" w14:textId="77777777" w:rsidR="006A297E" w:rsidRPr="00045B84" w:rsidRDefault="006A297E">
      <w:pPr>
        <w:spacing w:before="156" w:after="156"/>
        <w:ind w:firstLine="880"/>
        <w:rPr>
          <w:rFonts w:ascii="Times New Roman" w:eastAsia="仿宋" w:hAnsi="Times New Roman" w:cs="Times New Roman"/>
          <w:b/>
          <w:sz w:val="44"/>
          <w:szCs w:val="44"/>
        </w:rPr>
      </w:pPr>
    </w:p>
    <w:p w14:paraId="0FF2DB79" w14:textId="77777777" w:rsidR="006A297E" w:rsidRPr="00045B84" w:rsidRDefault="006A297E">
      <w:pPr>
        <w:spacing w:before="156" w:after="156"/>
        <w:ind w:firstLine="880"/>
        <w:rPr>
          <w:rFonts w:ascii="Times New Roman" w:eastAsia="仿宋" w:hAnsi="Times New Roman" w:cs="Times New Roman"/>
          <w:b/>
          <w:sz w:val="44"/>
          <w:szCs w:val="44"/>
        </w:rPr>
      </w:pPr>
    </w:p>
    <w:p w14:paraId="72DA7105" w14:textId="77777777" w:rsidR="006A297E" w:rsidRPr="00045B84" w:rsidRDefault="006A297E">
      <w:pPr>
        <w:spacing w:before="156" w:after="156"/>
        <w:ind w:firstLine="880"/>
        <w:rPr>
          <w:rFonts w:ascii="Times New Roman" w:eastAsia="仿宋" w:hAnsi="Times New Roman" w:cs="Times New Roman"/>
          <w:b/>
          <w:sz w:val="44"/>
          <w:szCs w:val="44"/>
        </w:rPr>
      </w:pPr>
    </w:p>
    <w:p w14:paraId="412EB245" w14:textId="77777777" w:rsidR="006A297E" w:rsidRPr="00482F0D" w:rsidRDefault="00A23406" w:rsidP="001B1635">
      <w:pPr>
        <w:spacing w:before="156" w:after="156"/>
        <w:jc w:val="center"/>
        <w:rPr>
          <w:rFonts w:ascii="Times New Roman" w:eastAsia="楷体_GB2312" w:hAnsi="Times New Roman" w:cs="Times New Roman"/>
          <w:bCs/>
          <w:sz w:val="44"/>
          <w:szCs w:val="44"/>
        </w:rPr>
      </w:pPr>
      <w:r w:rsidRPr="00482F0D">
        <w:rPr>
          <w:rFonts w:ascii="Times New Roman" w:eastAsia="楷体_GB2312" w:hAnsi="Times New Roman" w:cs="Times New Roman"/>
          <w:bCs/>
          <w:sz w:val="44"/>
          <w:szCs w:val="44"/>
        </w:rPr>
        <w:t>中国食品药品检定研究院</w:t>
      </w:r>
    </w:p>
    <w:p w14:paraId="3779D8CF" w14:textId="77777777" w:rsidR="006A297E" w:rsidRPr="00045B84" w:rsidRDefault="00A23406">
      <w:pPr>
        <w:spacing w:before="156" w:after="156"/>
        <w:ind w:firstLine="883"/>
        <w:jc w:val="center"/>
        <w:rPr>
          <w:rFonts w:ascii="Times New Roman" w:eastAsia="楷体" w:hAnsi="Times New Roman" w:cs="Times New Roman"/>
          <w:b/>
          <w:sz w:val="44"/>
          <w:szCs w:val="44"/>
        </w:rPr>
      </w:pPr>
      <w:r w:rsidRPr="00045B84">
        <w:rPr>
          <w:rFonts w:ascii="Times New Roman" w:eastAsia="楷体" w:hAnsi="Times New Roman" w:cs="Times New Roman"/>
          <w:b/>
          <w:sz w:val="44"/>
          <w:szCs w:val="44"/>
        </w:rPr>
        <w:br w:type="page"/>
      </w:r>
    </w:p>
    <w:sdt>
      <w:sdtPr>
        <w:rPr>
          <w:rFonts w:ascii="Times New Roman" w:eastAsia="宋体" w:hAnsi="Times New Roman" w:cs="Times New Roman"/>
          <w:sz w:val="21"/>
          <w14:ligatures w14:val="none"/>
        </w:rPr>
        <w:id w:val="147463053"/>
        <w:docPartObj>
          <w:docPartGallery w:val="Table of Contents"/>
          <w:docPartUnique/>
        </w:docPartObj>
      </w:sdtPr>
      <w:sdtEndPr/>
      <w:sdtContent>
        <w:p w14:paraId="257FCE70" w14:textId="77777777" w:rsidR="00436BF3" w:rsidRDefault="00436BF3">
          <w:pPr>
            <w:spacing w:before="156" w:after="156"/>
            <w:ind w:firstLine="422"/>
            <w:jc w:val="center"/>
            <w:rPr>
              <w:rFonts w:ascii="Times New Roman" w:eastAsia="宋体" w:hAnsi="Times New Roman" w:cs="Times New Roman"/>
              <w:sz w:val="21"/>
              <w14:ligatures w14:val="none"/>
            </w:rPr>
          </w:pPr>
        </w:p>
        <w:p w14:paraId="54A85B08" w14:textId="77777777" w:rsidR="00436BF3" w:rsidRDefault="00436BF3">
          <w:pPr>
            <w:spacing w:before="156" w:after="156"/>
            <w:ind w:firstLine="422"/>
            <w:jc w:val="center"/>
            <w:rPr>
              <w:rFonts w:ascii="Times New Roman" w:eastAsia="宋体" w:hAnsi="Times New Roman" w:cs="Times New Roman"/>
              <w:sz w:val="21"/>
              <w14:ligatures w14:val="none"/>
            </w:rPr>
          </w:pPr>
        </w:p>
        <w:p w14:paraId="587F4B93" w14:textId="331F590F" w:rsidR="006A297E" w:rsidRPr="00045B84" w:rsidRDefault="00A23406" w:rsidP="001B1635">
          <w:pPr>
            <w:spacing w:before="156" w:after="156"/>
            <w:jc w:val="center"/>
            <w:rPr>
              <w:rFonts w:ascii="Times New Roman" w:eastAsia="黑体" w:hAnsi="Times New Roman" w:cs="Times New Roman"/>
              <w:b/>
              <w:sz w:val="36"/>
              <w:szCs w:val="44"/>
            </w:rPr>
          </w:pPr>
          <w:r w:rsidRPr="00045B84">
            <w:rPr>
              <w:rFonts w:ascii="Times New Roman" w:eastAsia="黑体" w:hAnsi="Times New Roman" w:cs="Times New Roman"/>
              <w:b/>
              <w:sz w:val="36"/>
              <w:szCs w:val="44"/>
            </w:rPr>
            <w:t>目</w:t>
          </w:r>
          <w:r w:rsidRPr="00045B84">
            <w:rPr>
              <w:rFonts w:ascii="Times New Roman" w:eastAsia="黑体" w:hAnsi="Times New Roman" w:cs="Times New Roman"/>
              <w:b/>
              <w:sz w:val="36"/>
              <w:szCs w:val="44"/>
            </w:rPr>
            <w:t xml:space="preserve">  </w:t>
          </w:r>
          <w:r w:rsidRPr="00045B84">
            <w:rPr>
              <w:rFonts w:ascii="Times New Roman" w:eastAsia="黑体" w:hAnsi="Times New Roman" w:cs="Times New Roman"/>
              <w:b/>
              <w:sz w:val="36"/>
              <w:szCs w:val="44"/>
            </w:rPr>
            <w:t>录</w:t>
          </w:r>
        </w:p>
        <w:p w14:paraId="26832018" w14:textId="77777777" w:rsidR="006A297E" w:rsidRPr="00045B84" w:rsidRDefault="006A297E">
          <w:pPr>
            <w:spacing w:before="156" w:after="156"/>
            <w:ind w:firstLine="562"/>
            <w:rPr>
              <w:rFonts w:ascii="Times New Roman" w:eastAsia="黑体" w:hAnsi="Times New Roman" w:cs="Times New Roman"/>
              <w:sz w:val="28"/>
              <w:szCs w:val="28"/>
            </w:rPr>
          </w:pPr>
        </w:p>
        <w:p w14:paraId="1974E51E" w14:textId="12533706" w:rsidR="00426059" w:rsidRDefault="00A23406">
          <w:pPr>
            <w:pStyle w:val="TOC1"/>
            <w:rPr>
              <w:rFonts w:asciiTheme="minorHAnsi" w:eastAsiaTheme="minorEastAsia" w:hAnsiTheme="minorHAnsi" w:cstheme="minorBidi"/>
              <w:noProof/>
              <w:sz w:val="22"/>
              <w:szCs w:val="24"/>
              <w14:ligatures w14:val="standardContextual"/>
            </w:rPr>
          </w:pPr>
          <w:r w:rsidRPr="00045B84">
            <w:rPr>
              <w:sz w:val="28"/>
              <w:szCs w:val="28"/>
            </w:rPr>
            <w:fldChar w:fldCharType="begin"/>
          </w:r>
          <w:r w:rsidRPr="00045B84">
            <w:rPr>
              <w:sz w:val="28"/>
              <w:szCs w:val="28"/>
            </w:rPr>
            <w:instrText xml:space="preserve">TOC \o "1-4" \h \u </w:instrText>
          </w:r>
          <w:r w:rsidRPr="00045B84">
            <w:rPr>
              <w:sz w:val="28"/>
              <w:szCs w:val="28"/>
            </w:rPr>
            <w:fldChar w:fldCharType="separate"/>
          </w:r>
          <w:hyperlink w:anchor="_Toc170297631" w:history="1">
            <w:r w:rsidR="00426059" w:rsidRPr="00CE41E3">
              <w:rPr>
                <w:rStyle w:val="af0"/>
                <w:noProof/>
              </w:rPr>
              <w:t>一、范围</w:t>
            </w:r>
            <w:r w:rsidR="00426059">
              <w:rPr>
                <w:noProof/>
              </w:rPr>
              <w:tab/>
            </w:r>
            <w:r w:rsidR="00426059">
              <w:rPr>
                <w:noProof/>
              </w:rPr>
              <w:fldChar w:fldCharType="begin"/>
            </w:r>
            <w:r w:rsidR="00426059">
              <w:rPr>
                <w:noProof/>
              </w:rPr>
              <w:instrText xml:space="preserve"> PAGEREF _Toc170297631 \h </w:instrText>
            </w:r>
            <w:r w:rsidR="00426059">
              <w:rPr>
                <w:noProof/>
              </w:rPr>
            </w:r>
            <w:r w:rsidR="00426059">
              <w:rPr>
                <w:noProof/>
              </w:rPr>
              <w:fldChar w:fldCharType="separate"/>
            </w:r>
            <w:r w:rsidR="00426059">
              <w:rPr>
                <w:noProof/>
              </w:rPr>
              <w:t>1</w:t>
            </w:r>
            <w:r w:rsidR="00426059">
              <w:rPr>
                <w:noProof/>
              </w:rPr>
              <w:fldChar w:fldCharType="end"/>
            </w:r>
          </w:hyperlink>
        </w:p>
        <w:p w14:paraId="34866792" w14:textId="3A34A1C3" w:rsidR="00426059" w:rsidRDefault="00FF49A9">
          <w:pPr>
            <w:pStyle w:val="TOC1"/>
            <w:rPr>
              <w:rFonts w:asciiTheme="minorHAnsi" w:eastAsiaTheme="minorEastAsia" w:hAnsiTheme="minorHAnsi" w:cstheme="minorBidi"/>
              <w:noProof/>
              <w:sz w:val="22"/>
              <w:szCs w:val="24"/>
              <w14:ligatures w14:val="standardContextual"/>
            </w:rPr>
          </w:pPr>
          <w:hyperlink w:anchor="_Toc170297632" w:history="1">
            <w:r w:rsidR="00426059" w:rsidRPr="00CE41E3">
              <w:rPr>
                <w:rStyle w:val="af0"/>
                <w:noProof/>
              </w:rPr>
              <w:t>二、术语和释义</w:t>
            </w:r>
            <w:r w:rsidR="00426059">
              <w:rPr>
                <w:noProof/>
              </w:rPr>
              <w:tab/>
            </w:r>
            <w:r w:rsidR="00426059">
              <w:rPr>
                <w:noProof/>
              </w:rPr>
              <w:fldChar w:fldCharType="begin"/>
            </w:r>
            <w:r w:rsidR="00426059">
              <w:rPr>
                <w:noProof/>
              </w:rPr>
              <w:instrText xml:space="preserve"> PAGEREF _Toc170297632 \h </w:instrText>
            </w:r>
            <w:r w:rsidR="00426059">
              <w:rPr>
                <w:noProof/>
              </w:rPr>
            </w:r>
            <w:r w:rsidR="00426059">
              <w:rPr>
                <w:noProof/>
              </w:rPr>
              <w:fldChar w:fldCharType="separate"/>
            </w:r>
            <w:r w:rsidR="00426059">
              <w:rPr>
                <w:noProof/>
              </w:rPr>
              <w:t>1</w:t>
            </w:r>
            <w:r w:rsidR="00426059">
              <w:rPr>
                <w:noProof/>
              </w:rPr>
              <w:fldChar w:fldCharType="end"/>
            </w:r>
          </w:hyperlink>
        </w:p>
        <w:p w14:paraId="2340244F" w14:textId="3911265B" w:rsidR="00426059" w:rsidRDefault="00FF49A9">
          <w:pPr>
            <w:pStyle w:val="TOC1"/>
            <w:rPr>
              <w:rFonts w:asciiTheme="minorHAnsi" w:eastAsiaTheme="minorEastAsia" w:hAnsiTheme="minorHAnsi" w:cstheme="minorBidi"/>
              <w:noProof/>
              <w:sz w:val="22"/>
              <w:szCs w:val="24"/>
              <w14:ligatures w14:val="standardContextual"/>
            </w:rPr>
          </w:pPr>
          <w:hyperlink w:anchor="_Toc170297633" w:history="1">
            <w:r w:rsidR="00426059" w:rsidRPr="00CE41E3">
              <w:rPr>
                <w:rStyle w:val="af0"/>
                <w:noProof/>
              </w:rPr>
              <w:t>三、要求</w:t>
            </w:r>
            <w:r w:rsidR="00426059">
              <w:rPr>
                <w:noProof/>
              </w:rPr>
              <w:tab/>
            </w:r>
            <w:r w:rsidR="00426059">
              <w:rPr>
                <w:noProof/>
              </w:rPr>
              <w:fldChar w:fldCharType="begin"/>
            </w:r>
            <w:r w:rsidR="00426059">
              <w:rPr>
                <w:noProof/>
              </w:rPr>
              <w:instrText xml:space="preserve"> PAGEREF _Toc170297633 \h </w:instrText>
            </w:r>
            <w:r w:rsidR="00426059">
              <w:rPr>
                <w:noProof/>
              </w:rPr>
            </w:r>
            <w:r w:rsidR="00426059">
              <w:rPr>
                <w:noProof/>
              </w:rPr>
              <w:fldChar w:fldCharType="separate"/>
            </w:r>
            <w:r w:rsidR="00426059">
              <w:rPr>
                <w:noProof/>
              </w:rPr>
              <w:t>1</w:t>
            </w:r>
            <w:r w:rsidR="00426059">
              <w:rPr>
                <w:noProof/>
              </w:rPr>
              <w:fldChar w:fldCharType="end"/>
            </w:r>
          </w:hyperlink>
        </w:p>
        <w:p w14:paraId="6EBD9D20" w14:textId="1D3907C8" w:rsidR="00426059" w:rsidRDefault="00FF49A9">
          <w:pPr>
            <w:pStyle w:val="TOC1"/>
            <w:rPr>
              <w:rFonts w:asciiTheme="minorHAnsi" w:eastAsiaTheme="minorEastAsia" w:hAnsiTheme="minorHAnsi" w:cstheme="minorBidi"/>
              <w:noProof/>
              <w:sz w:val="22"/>
              <w:szCs w:val="24"/>
              <w14:ligatures w14:val="standardContextual"/>
            </w:rPr>
          </w:pPr>
          <w:hyperlink w:anchor="_Toc170297634" w:history="1">
            <w:r w:rsidR="00426059" w:rsidRPr="00CE41E3">
              <w:rPr>
                <w:rStyle w:val="af0"/>
                <w:noProof/>
              </w:rPr>
              <w:t>四、试验方法</w:t>
            </w:r>
            <w:r w:rsidR="00426059">
              <w:rPr>
                <w:noProof/>
              </w:rPr>
              <w:tab/>
            </w:r>
            <w:r w:rsidR="00426059">
              <w:rPr>
                <w:noProof/>
              </w:rPr>
              <w:fldChar w:fldCharType="begin"/>
            </w:r>
            <w:r w:rsidR="00426059">
              <w:rPr>
                <w:noProof/>
              </w:rPr>
              <w:instrText xml:space="preserve"> PAGEREF _Toc170297634 \h </w:instrText>
            </w:r>
            <w:r w:rsidR="00426059">
              <w:rPr>
                <w:noProof/>
              </w:rPr>
            </w:r>
            <w:r w:rsidR="00426059">
              <w:rPr>
                <w:noProof/>
              </w:rPr>
              <w:fldChar w:fldCharType="separate"/>
            </w:r>
            <w:r w:rsidR="00426059">
              <w:rPr>
                <w:noProof/>
              </w:rPr>
              <w:t>2</w:t>
            </w:r>
            <w:r w:rsidR="00426059">
              <w:rPr>
                <w:noProof/>
              </w:rPr>
              <w:fldChar w:fldCharType="end"/>
            </w:r>
          </w:hyperlink>
        </w:p>
        <w:p w14:paraId="705F17B6" w14:textId="5B71A39F" w:rsidR="00426059" w:rsidRDefault="00FF49A9">
          <w:pPr>
            <w:pStyle w:val="TOC1"/>
            <w:rPr>
              <w:rFonts w:asciiTheme="minorHAnsi" w:eastAsiaTheme="minorEastAsia" w:hAnsiTheme="minorHAnsi" w:cstheme="minorBidi"/>
              <w:noProof/>
              <w:sz w:val="22"/>
              <w:szCs w:val="24"/>
              <w14:ligatures w14:val="standardContextual"/>
            </w:rPr>
          </w:pPr>
          <w:hyperlink w:anchor="_Toc170297637" w:history="1">
            <w:r w:rsidR="00426059" w:rsidRPr="00CE41E3">
              <w:rPr>
                <w:rStyle w:val="af0"/>
                <w:noProof/>
              </w:rPr>
              <w:t>五、结果评价</w:t>
            </w:r>
            <w:r w:rsidR="00426059">
              <w:rPr>
                <w:noProof/>
              </w:rPr>
              <w:tab/>
            </w:r>
            <w:r w:rsidR="00426059">
              <w:rPr>
                <w:noProof/>
              </w:rPr>
              <w:fldChar w:fldCharType="begin"/>
            </w:r>
            <w:r w:rsidR="00426059">
              <w:rPr>
                <w:noProof/>
              </w:rPr>
              <w:instrText xml:space="preserve"> PAGEREF _Toc170297637 \h </w:instrText>
            </w:r>
            <w:r w:rsidR="00426059">
              <w:rPr>
                <w:noProof/>
              </w:rPr>
            </w:r>
            <w:r w:rsidR="00426059">
              <w:rPr>
                <w:noProof/>
              </w:rPr>
              <w:fldChar w:fldCharType="separate"/>
            </w:r>
            <w:r w:rsidR="00426059">
              <w:rPr>
                <w:noProof/>
              </w:rPr>
              <w:t>5</w:t>
            </w:r>
            <w:r w:rsidR="00426059">
              <w:rPr>
                <w:noProof/>
              </w:rPr>
              <w:fldChar w:fldCharType="end"/>
            </w:r>
          </w:hyperlink>
        </w:p>
        <w:p w14:paraId="0B1DA525" w14:textId="406BC2B4" w:rsidR="00426059" w:rsidRDefault="00FF49A9">
          <w:pPr>
            <w:pStyle w:val="TOC1"/>
            <w:rPr>
              <w:rFonts w:asciiTheme="minorHAnsi" w:eastAsiaTheme="minorEastAsia" w:hAnsiTheme="minorHAnsi" w:cstheme="minorBidi"/>
              <w:noProof/>
              <w:sz w:val="22"/>
              <w:szCs w:val="24"/>
              <w14:ligatures w14:val="standardContextual"/>
            </w:rPr>
          </w:pPr>
          <w:hyperlink w:anchor="_Toc170297638" w:history="1">
            <w:r w:rsidR="00426059" w:rsidRPr="00CE41E3">
              <w:rPr>
                <w:rStyle w:val="af0"/>
                <w:noProof/>
              </w:rPr>
              <w:t>六、说明</w:t>
            </w:r>
            <w:r w:rsidR="00426059">
              <w:rPr>
                <w:noProof/>
              </w:rPr>
              <w:tab/>
            </w:r>
            <w:r w:rsidR="00426059">
              <w:rPr>
                <w:noProof/>
              </w:rPr>
              <w:fldChar w:fldCharType="begin"/>
            </w:r>
            <w:r w:rsidR="00426059">
              <w:rPr>
                <w:noProof/>
              </w:rPr>
              <w:instrText xml:space="preserve"> PAGEREF _Toc170297638 \h </w:instrText>
            </w:r>
            <w:r w:rsidR="00426059">
              <w:rPr>
                <w:noProof/>
              </w:rPr>
            </w:r>
            <w:r w:rsidR="00426059">
              <w:rPr>
                <w:noProof/>
              </w:rPr>
              <w:fldChar w:fldCharType="separate"/>
            </w:r>
            <w:r w:rsidR="00426059">
              <w:rPr>
                <w:noProof/>
              </w:rPr>
              <w:t>5</w:t>
            </w:r>
            <w:r w:rsidR="00426059">
              <w:rPr>
                <w:noProof/>
              </w:rPr>
              <w:fldChar w:fldCharType="end"/>
            </w:r>
          </w:hyperlink>
        </w:p>
        <w:p w14:paraId="53D6E006" w14:textId="0B553205" w:rsidR="006A297E" w:rsidRPr="00045B84" w:rsidRDefault="00A23406">
          <w:pPr>
            <w:pStyle w:val="TOC2"/>
            <w:tabs>
              <w:tab w:val="right" w:leader="dot" w:pos="8306"/>
            </w:tabs>
            <w:spacing w:before="156" w:after="156" w:line="720" w:lineRule="auto"/>
            <w:ind w:left="440" w:firstLine="562"/>
            <w:rPr>
              <w:rFonts w:ascii="Times New Roman" w:eastAsia="黑体" w:hAnsi="Times New Roman" w:cs="Times New Roman"/>
              <w:bCs/>
              <w:sz w:val="32"/>
              <w:szCs w:val="32"/>
            </w:rPr>
            <w:sectPr w:rsidR="006A297E" w:rsidRPr="00045B84">
              <w:footerReference w:type="even" r:id="rId9"/>
              <w:pgSz w:w="11906" w:h="16838"/>
              <w:pgMar w:top="1440" w:right="1800" w:bottom="1440" w:left="1800" w:header="851" w:footer="992" w:gutter="0"/>
              <w:cols w:space="425"/>
              <w:docGrid w:type="lines" w:linePitch="312"/>
            </w:sectPr>
          </w:pPr>
          <w:r w:rsidRPr="00045B84">
            <w:rPr>
              <w:rFonts w:ascii="Times New Roman" w:eastAsia="黑体" w:hAnsi="Times New Roman" w:cs="Times New Roman"/>
              <w:sz w:val="28"/>
              <w:szCs w:val="28"/>
            </w:rPr>
            <w:fldChar w:fldCharType="end"/>
          </w:r>
        </w:p>
      </w:sdtContent>
    </w:sdt>
    <w:p w14:paraId="755D215D" w14:textId="77777777" w:rsidR="00353188" w:rsidRPr="00353188" w:rsidRDefault="00A23406" w:rsidP="00353188">
      <w:pPr>
        <w:widowControl w:val="0"/>
        <w:spacing w:after="120" w:line="700" w:lineRule="exact"/>
        <w:ind w:firstLineChars="200" w:firstLine="640"/>
        <w:jc w:val="both"/>
        <w:outlineLvl w:val="0"/>
        <w:rPr>
          <w:rFonts w:ascii="Times New Roman" w:eastAsia="黑体" w:hAnsi="Times New Roman" w:cs="Times New Roman"/>
          <w:sz w:val="32"/>
          <w:szCs w:val="32"/>
          <w14:ligatures w14:val="none"/>
        </w:rPr>
      </w:pPr>
      <w:bookmarkStart w:id="1" w:name="_Toc170297631"/>
      <w:r w:rsidRPr="00045B84">
        <w:rPr>
          <w:rFonts w:ascii="Times New Roman" w:eastAsia="黑体" w:hAnsi="Times New Roman" w:cs="Times New Roman"/>
          <w:sz w:val="32"/>
          <w:szCs w:val="32"/>
          <w14:ligatures w14:val="none"/>
        </w:rPr>
        <w:lastRenderedPageBreak/>
        <w:t>一、</w:t>
      </w:r>
      <w:r w:rsidR="00B132CA" w:rsidRPr="00045B84">
        <w:rPr>
          <w:rFonts w:ascii="Times New Roman" w:eastAsia="黑体" w:hAnsi="Times New Roman" w:cs="Times New Roman"/>
          <w:sz w:val="32"/>
          <w:szCs w:val="32"/>
          <w14:ligatures w14:val="none"/>
        </w:rPr>
        <w:t>范围</w:t>
      </w:r>
      <w:bookmarkEnd w:id="1"/>
    </w:p>
    <w:p w14:paraId="10D5EF2A" w14:textId="77777777" w:rsidR="006A297E" w:rsidRPr="00045B84" w:rsidRDefault="00B132CA" w:rsidP="00353188">
      <w:pPr>
        <w:snapToGrid w:val="0"/>
        <w:spacing w:after="120" w:line="560" w:lineRule="exact"/>
        <w:ind w:firstLineChars="200" w:firstLine="640"/>
        <w:jc w:val="both"/>
        <w:rPr>
          <w:rFonts w:ascii="Times New Roman" w:eastAsia="仿宋_GB2312" w:hAnsi="Times New Roman" w:cs="Times New Roman"/>
          <w:sz w:val="32"/>
          <w:szCs w:val="32"/>
        </w:rPr>
      </w:pPr>
      <w:r w:rsidRPr="00045B84">
        <w:rPr>
          <w:rFonts w:ascii="Times New Roman" w:eastAsia="仿宋_GB2312" w:hAnsi="Times New Roman" w:cs="Times New Roman"/>
          <w:sz w:val="32"/>
          <w:szCs w:val="32"/>
        </w:rPr>
        <w:t>本指南适用于与化妆品内容物直接接触的容器或载体与产品相容性评价的要求、试验方法和结果评价。</w:t>
      </w:r>
    </w:p>
    <w:p w14:paraId="7A44D3D4" w14:textId="77777777" w:rsidR="006A297E" w:rsidRPr="00045B84" w:rsidRDefault="00A23406">
      <w:pPr>
        <w:widowControl w:val="0"/>
        <w:spacing w:after="120" w:line="700" w:lineRule="exact"/>
        <w:ind w:firstLineChars="196" w:firstLine="627"/>
        <w:jc w:val="both"/>
        <w:outlineLvl w:val="0"/>
        <w:rPr>
          <w:rFonts w:ascii="Times New Roman" w:eastAsia="黑体" w:hAnsi="Times New Roman" w:cs="Times New Roman"/>
          <w:sz w:val="32"/>
          <w:szCs w:val="32"/>
          <w14:ligatures w14:val="none"/>
        </w:rPr>
      </w:pPr>
      <w:bookmarkStart w:id="2" w:name="_Toc170297632"/>
      <w:r w:rsidRPr="00045B84">
        <w:rPr>
          <w:rFonts w:ascii="Times New Roman" w:eastAsia="黑体" w:hAnsi="Times New Roman" w:cs="Times New Roman"/>
          <w:sz w:val="32"/>
          <w:szCs w:val="32"/>
          <w14:ligatures w14:val="none"/>
        </w:rPr>
        <w:t>二、</w:t>
      </w:r>
      <w:r w:rsidR="00B132CA" w:rsidRPr="00045B84">
        <w:rPr>
          <w:rFonts w:ascii="Times New Roman" w:eastAsia="黑体" w:hAnsi="Times New Roman" w:cs="Times New Roman"/>
          <w:sz w:val="32"/>
          <w:szCs w:val="32"/>
          <w14:ligatures w14:val="none"/>
        </w:rPr>
        <w:t>术语和释义</w:t>
      </w:r>
      <w:bookmarkEnd w:id="2"/>
    </w:p>
    <w:p w14:paraId="3D7F6759" w14:textId="77777777" w:rsidR="00B132CA" w:rsidRPr="00045B84" w:rsidRDefault="00B132CA" w:rsidP="00353188">
      <w:pPr>
        <w:snapToGrid w:val="0"/>
        <w:spacing w:after="120" w:line="560" w:lineRule="exact"/>
        <w:ind w:firstLineChars="200" w:firstLine="640"/>
        <w:jc w:val="both"/>
        <w:rPr>
          <w:rFonts w:ascii="Times New Roman" w:eastAsia="仿宋_GB2312" w:hAnsi="Times New Roman" w:cs="Times New Roman"/>
          <w:sz w:val="32"/>
          <w:szCs w:val="32"/>
        </w:rPr>
      </w:pPr>
      <w:r w:rsidRPr="00045B84">
        <w:rPr>
          <w:rFonts w:ascii="Times New Roman" w:eastAsia="仿宋_GB2312" w:hAnsi="Times New Roman" w:cs="Times New Roman"/>
          <w:sz w:val="32"/>
          <w:szCs w:val="32"/>
        </w:rPr>
        <w:t>可提取物：存在于化妆品包材中并可以通过溶剂从中提取出来的物质，包括化妆品包材中的添加剂、残留单体、降解产物等。</w:t>
      </w:r>
    </w:p>
    <w:p w14:paraId="5BAC9A92" w14:textId="77777777" w:rsidR="006A297E" w:rsidRPr="00045B84" w:rsidRDefault="00B132CA" w:rsidP="00353188">
      <w:pPr>
        <w:snapToGrid w:val="0"/>
        <w:spacing w:after="120" w:line="560" w:lineRule="exact"/>
        <w:ind w:firstLineChars="200" w:firstLine="640"/>
        <w:jc w:val="both"/>
        <w:rPr>
          <w:rFonts w:ascii="Times New Roman" w:eastAsia="仿宋_GB2312" w:hAnsi="Times New Roman" w:cs="Times New Roman"/>
          <w:sz w:val="32"/>
          <w:szCs w:val="32"/>
        </w:rPr>
      </w:pPr>
      <w:r w:rsidRPr="00045B84">
        <w:rPr>
          <w:rFonts w:ascii="Times New Roman" w:eastAsia="仿宋_GB2312" w:hAnsi="Times New Roman" w:cs="Times New Roman"/>
          <w:sz w:val="32"/>
          <w:szCs w:val="32"/>
        </w:rPr>
        <w:t>浸出物：通过迁移试验获得的</w:t>
      </w:r>
      <w:proofErr w:type="gramStart"/>
      <w:r w:rsidRPr="00045B84">
        <w:rPr>
          <w:rFonts w:ascii="Times New Roman" w:eastAsia="仿宋_GB2312" w:hAnsi="Times New Roman" w:cs="Times New Roman"/>
          <w:sz w:val="32"/>
          <w:szCs w:val="32"/>
        </w:rPr>
        <w:t>从包材中</w:t>
      </w:r>
      <w:proofErr w:type="gramEnd"/>
      <w:r w:rsidRPr="00045B84">
        <w:rPr>
          <w:rFonts w:ascii="Times New Roman" w:eastAsia="仿宋_GB2312" w:hAnsi="Times New Roman" w:cs="Times New Roman"/>
          <w:sz w:val="32"/>
          <w:szCs w:val="32"/>
        </w:rPr>
        <w:t>迁移或</w:t>
      </w:r>
      <w:proofErr w:type="gramStart"/>
      <w:r w:rsidRPr="00045B84">
        <w:rPr>
          <w:rFonts w:ascii="Times New Roman" w:eastAsia="仿宋_GB2312" w:hAnsi="Times New Roman" w:cs="Times New Roman"/>
          <w:sz w:val="32"/>
          <w:szCs w:val="32"/>
        </w:rPr>
        <w:t>因试验</w:t>
      </w:r>
      <w:proofErr w:type="gramEnd"/>
      <w:r w:rsidRPr="00045B84">
        <w:rPr>
          <w:rFonts w:ascii="Times New Roman" w:eastAsia="仿宋_GB2312" w:hAnsi="Times New Roman" w:cs="Times New Roman"/>
          <w:sz w:val="32"/>
          <w:szCs w:val="32"/>
        </w:rPr>
        <w:t>产生并进入化妆品中的物质。</w:t>
      </w:r>
    </w:p>
    <w:p w14:paraId="07B2B9B2" w14:textId="77777777" w:rsidR="006A297E" w:rsidRPr="00045B84" w:rsidRDefault="00A23406">
      <w:pPr>
        <w:widowControl w:val="0"/>
        <w:spacing w:after="120" w:line="700" w:lineRule="exact"/>
        <w:ind w:firstLineChars="196" w:firstLine="627"/>
        <w:jc w:val="both"/>
        <w:outlineLvl w:val="0"/>
        <w:rPr>
          <w:rFonts w:ascii="Times New Roman" w:eastAsia="黑体" w:hAnsi="Times New Roman" w:cs="Times New Roman"/>
          <w:sz w:val="32"/>
          <w:szCs w:val="32"/>
          <w14:ligatures w14:val="none"/>
        </w:rPr>
      </w:pPr>
      <w:bookmarkStart w:id="3" w:name="_Toc170297633"/>
      <w:r w:rsidRPr="00045B84">
        <w:rPr>
          <w:rFonts w:ascii="Times New Roman" w:eastAsia="黑体" w:hAnsi="Times New Roman" w:cs="Times New Roman"/>
          <w:sz w:val="32"/>
          <w:szCs w:val="32"/>
          <w14:ligatures w14:val="none"/>
        </w:rPr>
        <w:t>三、</w:t>
      </w:r>
      <w:r w:rsidR="00B132CA" w:rsidRPr="00045B84">
        <w:rPr>
          <w:rFonts w:ascii="Times New Roman" w:eastAsia="黑体" w:hAnsi="Times New Roman" w:cs="Times New Roman"/>
          <w:sz w:val="32"/>
          <w:szCs w:val="32"/>
          <w14:ligatures w14:val="none"/>
        </w:rPr>
        <w:t>要求</w:t>
      </w:r>
      <w:bookmarkEnd w:id="3"/>
    </w:p>
    <w:p w14:paraId="6E8A8F4B" w14:textId="77777777" w:rsidR="00B132CA" w:rsidRPr="00045B84" w:rsidRDefault="00B132CA" w:rsidP="00353188">
      <w:pPr>
        <w:snapToGrid w:val="0"/>
        <w:spacing w:after="120" w:line="560" w:lineRule="exact"/>
        <w:ind w:firstLineChars="200" w:firstLine="640"/>
        <w:jc w:val="both"/>
        <w:rPr>
          <w:rFonts w:ascii="Times New Roman" w:eastAsia="仿宋_GB2312" w:hAnsi="Times New Roman" w:cs="Times New Roman"/>
          <w:sz w:val="32"/>
          <w:szCs w:val="32"/>
        </w:rPr>
      </w:pPr>
      <w:r w:rsidRPr="00045B84">
        <w:rPr>
          <w:rFonts w:ascii="Times New Roman" w:eastAsia="仿宋_GB2312" w:hAnsi="Times New Roman" w:cs="Times New Roman"/>
          <w:sz w:val="32"/>
          <w:szCs w:val="32"/>
        </w:rPr>
        <w:t>直接接触化妆品的包装材料应当安全，不得与化妆品发生化学反应，不得迁移或释放对人体产生危害的有毒有害物质。</w:t>
      </w:r>
    </w:p>
    <w:p w14:paraId="54A821D6" w14:textId="77777777" w:rsidR="00B132CA" w:rsidRPr="00045B84" w:rsidRDefault="00B132CA" w:rsidP="00353188">
      <w:pPr>
        <w:snapToGrid w:val="0"/>
        <w:spacing w:after="120" w:line="560" w:lineRule="exact"/>
        <w:ind w:firstLineChars="200" w:firstLine="640"/>
        <w:jc w:val="both"/>
        <w:rPr>
          <w:rFonts w:ascii="Times New Roman" w:eastAsia="仿宋_GB2312" w:hAnsi="Times New Roman" w:cs="Times New Roman"/>
          <w:sz w:val="32"/>
          <w:szCs w:val="32"/>
        </w:rPr>
      </w:pPr>
      <w:r w:rsidRPr="00045B84">
        <w:rPr>
          <w:rFonts w:ascii="Times New Roman" w:eastAsia="仿宋_GB2312" w:hAnsi="Times New Roman" w:cs="Times New Roman"/>
          <w:sz w:val="32"/>
          <w:szCs w:val="32"/>
        </w:rPr>
        <w:t>相容性研究考察化妆品与其包材之间是否存在相互影响，并导致化妆品产生安全性风险。</w:t>
      </w:r>
    </w:p>
    <w:p w14:paraId="5126F6AB" w14:textId="77777777" w:rsidR="00B132CA" w:rsidRPr="00045B84" w:rsidRDefault="00B132CA" w:rsidP="00353188">
      <w:pPr>
        <w:snapToGrid w:val="0"/>
        <w:spacing w:after="120" w:line="560" w:lineRule="exact"/>
        <w:ind w:firstLineChars="200" w:firstLine="640"/>
        <w:jc w:val="both"/>
        <w:rPr>
          <w:rFonts w:ascii="Times New Roman" w:eastAsia="仿宋_GB2312" w:hAnsi="Times New Roman" w:cs="Times New Roman"/>
          <w:sz w:val="32"/>
          <w:szCs w:val="32"/>
        </w:rPr>
      </w:pPr>
      <w:r w:rsidRPr="00045B84">
        <w:rPr>
          <w:rFonts w:ascii="Times New Roman" w:eastAsia="仿宋_GB2312" w:hAnsi="Times New Roman" w:cs="Times New Roman"/>
          <w:sz w:val="32"/>
          <w:szCs w:val="32"/>
        </w:rPr>
        <w:t>选择包材时，应对化妆品与包材的相容性开展评估，若发现化妆品与包材发生相互作用并对化妆品的质量安全产生影响时，应开展化妆品与包材的相容性研究。</w:t>
      </w:r>
    </w:p>
    <w:p w14:paraId="5ED1D57C" w14:textId="77777777" w:rsidR="006A297E" w:rsidRPr="00045B84" w:rsidRDefault="00B132CA" w:rsidP="00353188">
      <w:pPr>
        <w:snapToGrid w:val="0"/>
        <w:spacing w:after="120" w:line="560" w:lineRule="exact"/>
        <w:ind w:firstLineChars="200" w:firstLine="640"/>
        <w:jc w:val="both"/>
        <w:rPr>
          <w:rFonts w:ascii="Times New Roman" w:eastAsia="仿宋_GB2312" w:hAnsi="Times New Roman" w:cs="Times New Roman"/>
          <w:sz w:val="32"/>
          <w:szCs w:val="32"/>
        </w:rPr>
      </w:pPr>
      <w:r w:rsidRPr="00045B84">
        <w:rPr>
          <w:rFonts w:ascii="Times New Roman" w:eastAsia="仿宋_GB2312" w:hAnsi="Times New Roman" w:cs="Times New Roman"/>
          <w:sz w:val="32"/>
          <w:szCs w:val="32"/>
        </w:rPr>
        <w:t>进行化妆品与其包材相容性试验时，应建立灵敏、专属性的测试方法。必要时，进行方法学的</w:t>
      </w:r>
      <w:r w:rsidR="00E0743C">
        <w:rPr>
          <w:rFonts w:ascii="Times New Roman" w:eastAsia="仿宋_GB2312" w:hAnsi="Times New Roman" w:cs="Times New Roman" w:hint="eastAsia"/>
          <w:sz w:val="32"/>
          <w:szCs w:val="32"/>
        </w:rPr>
        <w:t>验证</w:t>
      </w:r>
      <w:r w:rsidRPr="00045B84">
        <w:rPr>
          <w:rFonts w:ascii="Times New Roman" w:eastAsia="仿宋_GB2312" w:hAnsi="Times New Roman" w:cs="Times New Roman"/>
          <w:sz w:val="32"/>
          <w:szCs w:val="32"/>
        </w:rPr>
        <w:t>。取样时，应注意空白包材与化妆品取样的代表性。</w:t>
      </w:r>
    </w:p>
    <w:p w14:paraId="32F7EE4F" w14:textId="77777777" w:rsidR="006A297E" w:rsidRPr="00045B84" w:rsidRDefault="00A23406" w:rsidP="00353188">
      <w:pPr>
        <w:widowControl w:val="0"/>
        <w:spacing w:after="120" w:line="700" w:lineRule="exact"/>
        <w:ind w:firstLineChars="200" w:firstLine="640"/>
        <w:jc w:val="both"/>
        <w:outlineLvl w:val="0"/>
        <w:rPr>
          <w:rFonts w:ascii="Times New Roman" w:eastAsia="黑体" w:hAnsi="Times New Roman" w:cs="Times New Roman"/>
          <w:sz w:val="32"/>
          <w:szCs w:val="32"/>
          <w14:ligatures w14:val="none"/>
        </w:rPr>
      </w:pPr>
      <w:bookmarkStart w:id="4" w:name="_Toc170297634"/>
      <w:r w:rsidRPr="00045B84">
        <w:rPr>
          <w:rFonts w:ascii="Times New Roman" w:eastAsia="黑体" w:hAnsi="Times New Roman" w:cs="Times New Roman"/>
          <w:sz w:val="32"/>
          <w:szCs w:val="32"/>
          <w14:ligatures w14:val="none"/>
        </w:rPr>
        <w:lastRenderedPageBreak/>
        <w:t>四、</w:t>
      </w:r>
      <w:r w:rsidR="00B132CA" w:rsidRPr="00045B84">
        <w:rPr>
          <w:rFonts w:ascii="Times New Roman" w:eastAsia="黑体" w:hAnsi="Times New Roman" w:cs="Times New Roman"/>
          <w:sz w:val="32"/>
          <w:szCs w:val="32"/>
          <w14:ligatures w14:val="none"/>
        </w:rPr>
        <w:t>试验方法</w:t>
      </w:r>
      <w:bookmarkEnd w:id="4"/>
    </w:p>
    <w:p w14:paraId="6C7E14A1" w14:textId="77777777" w:rsidR="006A297E" w:rsidRPr="00045B84" w:rsidRDefault="00B132CA" w:rsidP="00353188">
      <w:pPr>
        <w:snapToGrid w:val="0"/>
        <w:spacing w:after="120" w:line="560" w:lineRule="exact"/>
        <w:ind w:firstLineChars="200" w:firstLine="640"/>
        <w:jc w:val="both"/>
        <w:rPr>
          <w:rFonts w:ascii="Times New Roman" w:eastAsia="仿宋_GB2312" w:hAnsi="Times New Roman" w:cs="Times New Roman"/>
          <w:sz w:val="32"/>
          <w:szCs w:val="32"/>
        </w:rPr>
      </w:pPr>
      <w:r w:rsidRPr="00045B84">
        <w:rPr>
          <w:rFonts w:ascii="Times New Roman" w:eastAsia="仿宋_GB2312" w:hAnsi="Times New Roman" w:cs="Times New Roman"/>
          <w:sz w:val="32"/>
          <w:szCs w:val="32"/>
        </w:rPr>
        <w:t>开展相容性研究时，首先应确定直接接触化妆品的包装容器及材料，了解或分析包材的组成、包材与化妆品的接触方式与接触条件、化妆品的生产工艺及过程；随后对所用包材进行提取试验，获得可提取物信息，并预测潜在的浸出物；通过相互作用研究，考察加速试验和长期稳定性试验条件下包材中成分迁移进入化妆品或与化妆品发生反应的程度，即获取浸出物水平信息；对浸出物水平进行安全性评估，得出包材是否适用于化妆品的结论。</w:t>
      </w:r>
    </w:p>
    <w:p w14:paraId="3BEA4CB7" w14:textId="77777777" w:rsidR="006A297E" w:rsidRPr="00813F53" w:rsidRDefault="00A23406">
      <w:pPr>
        <w:widowControl w:val="0"/>
        <w:tabs>
          <w:tab w:val="left" w:pos="567"/>
        </w:tabs>
        <w:adjustRightInd w:val="0"/>
        <w:spacing w:after="120" w:line="700" w:lineRule="exact"/>
        <w:ind w:firstLineChars="200" w:firstLine="643"/>
        <w:jc w:val="both"/>
        <w:outlineLvl w:val="1"/>
        <w:rPr>
          <w:rFonts w:ascii="Times New Roman" w:eastAsia="仿宋" w:hAnsi="Times New Roman" w:cs="Times New Roman"/>
          <w:b/>
          <w:bCs/>
          <w:sz w:val="32"/>
          <w:szCs w:val="32"/>
          <w14:ligatures w14:val="none"/>
        </w:rPr>
      </w:pPr>
      <w:bookmarkStart w:id="5" w:name="_Toc166067699"/>
      <w:bookmarkStart w:id="6" w:name="_Toc170297635"/>
      <w:r w:rsidRPr="00813F53">
        <w:rPr>
          <w:rFonts w:ascii="Times New Roman" w:eastAsia="楷体_GB2312" w:hAnsi="Times New Roman" w:cs="Times New Roman"/>
          <w:b/>
          <w:bCs/>
          <w:sz w:val="32"/>
          <w:szCs w:val="32"/>
          <w14:ligatures w14:val="none"/>
        </w:rPr>
        <w:t>（一）</w:t>
      </w:r>
      <w:r w:rsidR="00B132CA" w:rsidRPr="00813F53">
        <w:rPr>
          <w:rFonts w:ascii="Times New Roman" w:eastAsia="楷体_GB2312" w:hAnsi="Times New Roman" w:cs="Times New Roman"/>
          <w:b/>
          <w:bCs/>
          <w:sz w:val="32"/>
          <w:szCs w:val="32"/>
          <w14:ligatures w14:val="none"/>
        </w:rPr>
        <w:t>提取试验</w:t>
      </w:r>
      <w:bookmarkEnd w:id="5"/>
      <w:bookmarkEnd w:id="6"/>
    </w:p>
    <w:p w14:paraId="268DD56F" w14:textId="77777777" w:rsidR="00B132CA" w:rsidRPr="00045B84" w:rsidRDefault="00B132CA" w:rsidP="00353188">
      <w:pPr>
        <w:snapToGrid w:val="0"/>
        <w:spacing w:after="120" w:line="560" w:lineRule="exact"/>
        <w:ind w:firstLineChars="200" w:firstLine="640"/>
        <w:jc w:val="both"/>
        <w:rPr>
          <w:rFonts w:ascii="Times New Roman" w:eastAsia="仿宋_GB2312" w:hAnsi="Times New Roman" w:cs="Times New Roman"/>
          <w:sz w:val="32"/>
          <w:szCs w:val="32"/>
        </w:rPr>
      </w:pPr>
      <w:r w:rsidRPr="00045B84">
        <w:rPr>
          <w:rFonts w:ascii="Times New Roman" w:eastAsia="仿宋_GB2312" w:hAnsi="Times New Roman" w:cs="Times New Roman"/>
          <w:sz w:val="32"/>
          <w:szCs w:val="32"/>
        </w:rPr>
        <w:t>提取试验是指采用适宜的溶剂，对空白包材进行的试验研究；目的是获得包材中的可提取物信息以明确迁移试验的目标浸出物，依据提取试验研究中获得的可提取物种类和水平信息，建立灵敏的、专属的分析方法，以指导后续的浸出物研究（迁移试验）。</w:t>
      </w:r>
    </w:p>
    <w:p w14:paraId="2A41CBB5" w14:textId="77777777" w:rsidR="006A297E" w:rsidRPr="00045B84" w:rsidRDefault="00B132CA" w:rsidP="00353188">
      <w:pPr>
        <w:snapToGrid w:val="0"/>
        <w:spacing w:after="120" w:line="560" w:lineRule="exact"/>
        <w:ind w:firstLineChars="200" w:firstLine="640"/>
        <w:jc w:val="both"/>
        <w:rPr>
          <w:rFonts w:ascii="Times New Roman" w:eastAsia="仿宋_GB2312" w:hAnsi="Times New Roman" w:cs="Times New Roman"/>
          <w:sz w:val="32"/>
          <w:szCs w:val="32"/>
        </w:rPr>
      </w:pPr>
      <w:r w:rsidRPr="00045B84">
        <w:rPr>
          <w:rFonts w:ascii="Times New Roman" w:eastAsia="仿宋_GB2312" w:hAnsi="Times New Roman" w:cs="Times New Roman"/>
          <w:sz w:val="32"/>
          <w:szCs w:val="32"/>
        </w:rPr>
        <w:t>提取溶剂通常应具有与化妆品相容或相似的理化性质，重点考虑溶剂的</w:t>
      </w:r>
      <w:r w:rsidRPr="00045B84">
        <w:rPr>
          <w:rFonts w:ascii="Times New Roman" w:eastAsia="仿宋_GB2312" w:hAnsi="Times New Roman" w:cs="Times New Roman"/>
          <w:sz w:val="32"/>
          <w:szCs w:val="32"/>
        </w:rPr>
        <w:t>pH</w:t>
      </w:r>
      <w:r w:rsidRPr="00045B84">
        <w:rPr>
          <w:rFonts w:ascii="Times New Roman" w:eastAsia="仿宋_GB2312" w:hAnsi="Times New Roman" w:cs="Times New Roman"/>
          <w:sz w:val="32"/>
          <w:szCs w:val="32"/>
        </w:rPr>
        <w:t>、极性和离子强度等。提取条件一般应参考化妆品的工艺条件，通过适当提高加热温度和延长加热时间的方式尽可能多的提取出包材中的可提取物。</w:t>
      </w:r>
    </w:p>
    <w:p w14:paraId="3930A410" w14:textId="77777777" w:rsidR="006A297E" w:rsidRPr="00813F53" w:rsidRDefault="00A23406">
      <w:pPr>
        <w:widowControl w:val="0"/>
        <w:tabs>
          <w:tab w:val="left" w:pos="567"/>
        </w:tabs>
        <w:adjustRightInd w:val="0"/>
        <w:spacing w:after="120" w:line="700" w:lineRule="exact"/>
        <w:ind w:firstLineChars="200" w:firstLine="643"/>
        <w:jc w:val="both"/>
        <w:outlineLvl w:val="1"/>
        <w:rPr>
          <w:rFonts w:ascii="Times New Roman" w:eastAsia="楷体_GB2312" w:hAnsi="Times New Roman" w:cs="Times New Roman"/>
          <w:b/>
          <w:bCs/>
          <w:sz w:val="32"/>
          <w:szCs w:val="32"/>
          <w14:ligatures w14:val="none"/>
        </w:rPr>
      </w:pPr>
      <w:bookmarkStart w:id="7" w:name="_Toc166067700"/>
      <w:bookmarkStart w:id="8" w:name="_Toc170297636"/>
      <w:r w:rsidRPr="00813F53">
        <w:rPr>
          <w:rFonts w:ascii="Times New Roman" w:eastAsia="楷体_GB2312" w:hAnsi="Times New Roman" w:cs="Times New Roman"/>
          <w:b/>
          <w:bCs/>
          <w:sz w:val="32"/>
          <w:szCs w:val="32"/>
          <w14:ligatures w14:val="none"/>
        </w:rPr>
        <w:t>（二）</w:t>
      </w:r>
      <w:r w:rsidR="00B132CA" w:rsidRPr="00813F53">
        <w:rPr>
          <w:rFonts w:ascii="Times New Roman" w:eastAsia="楷体_GB2312" w:hAnsi="Times New Roman" w:cs="Times New Roman"/>
          <w:b/>
          <w:bCs/>
          <w:sz w:val="32"/>
          <w:szCs w:val="32"/>
        </w:rPr>
        <w:t>相互作用研究</w:t>
      </w:r>
      <w:bookmarkEnd w:id="7"/>
      <w:bookmarkEnd w:id="8"/>
    </w:p>
    <w:p w14:paraId="1A12D454" w14:textId="77777777" w:rsidR="00B132CA" w:rsidRPr="00045B84" w:rsidRDefault="00B132CA" w:rsidP="00353188">
      <w:pPr>
        <w:spacing w:after="120" w:line="560" w:lineRule="exact"/>
        <w:ind w:firstLineChars="200" w:firstLine="640"/>
        <w:jc w:val="both"/>
        <w:rPr>
          <w:rFonts w:ascii="Times New Roman" w:eastAsia="仿宋_GB2312" w:hAnsi="Times New Roman" w:cs="Times New Roman"/>
          <w:sz w:val="32"/>
          <w:szCs w:val="32"/>
        </w:rPr>
      </w:pPr>
      <w:r w:rsidRPr="00045B84">
        <w:rPr>
          <w:rFonts w:ascii="Times New Roman" w:eastAsia="仿宋_GB2312" w:hAnsi="Times New Roman" w:cs="Times New Roman"/>
          <w:sz w:val="32"/>
          <w:szCs w:val="32"/>
        </w:rPr>
        <w:lastRenderedPageBreak/>
        <w:t>相互作用研究包括迁移试验和吸附试验。相互作用研究应采用实际样品，在加速试验和长期稳定性试验的条件下（试验条件参考</w:t>
      </w:r>
      <w:r w:rsidR="00E0743C" w:rsidRPr="00045B84">
        <w:rPr>
          <w:rFonts w:ascii="Times New Roman" w:eastAsia="仿宋_GB2312" w:hAnsi="Times New Roman" w:cs="Times New Roman"/>
          <w:sz w:val="32"/>
          <w:szCs w:val="32"/>
        </w:rPr>
        <w:t>《化妆品稳定性</w:t>
      </w:r>
      <w:r w:rsidR="00E0743C">
        <w:rPr>
          <w:rFonts w:ascii="Times New Roman" w:eastAsia="仿宋_GB2312" w:hAnsi="Times New Roman" w:cs="Times New Roman" w:hint="eastAsia"/>
          <w:sz w:val="32"/>
          <w:szCs w:val="32"/>
        </w:rPr>
        <w:t>测试评估</w:t>
      </w:r>
      <w:r w:rsidR="00E0743C" w:rsidRPr="00045B84">
        <w:rPr>
          <w:rFonts w:ascii="Times New Roman" w:eastAsia="仿宋_GB2312" w:hAnsi="Times New Roman" w:cs="Times New Roman"/>
          <w:sz w:val="32"/>
          <w:szCs w:val="32"/>
        </w:rPr>
        <w:t>技术指南》</w:t>
      </w:r>
      <w:r w:rsidRPr="00045B84">
        <w:rPr>
          <w:rFonts w:ascii="Times New Roman" w:eastAsia="仿宋_GB2312" w:hAnsi="Times New Roman" w:cs="Times New Roman"/>
          <w:sz w:val="32"/>
          <w:szCs w:val="32"/>
        </w:rPr>
        <w:t>）进行试验，化妆品的放置方法应保证化妆品与包材充分接触。</w:t>
      </w:r>
    </w:p>
    <w:p w14:paraId="5F685E2D" w14:textId="77777777" w:rsidR="00B132CA" w:rsidRPr="00045B84" w:rsidRDefault="00B132CA" w:rsidP="00353188">
      <w:pPr>
        <w:spacing w:after="120" w:line="560" w:lineRule="exact"/>
        <w:ind w:firstLineChars="200" w:firstLine="640"/>
        <w:jc w:val="both"/>
        <w:rPr>
          <w:rFonts w:ascii="Times New Roman" w:eastAsia="仿宋_GB2312" w:hAnsi="Times New Roman" w:cs="Times New Roman"/>
          <w:sz w:val="32"/>
          <w:szCs w:val="32"/>
        </w:rPr>
      </w:pPr>
      <w:r w:rsidRPr="00045B84">
        <w:rPr>
          <w:rFonts w:ascii="Times New Roman" w:eastAsia="仿宋_GB2312" w:hAnsi="Times New Roman" w:cs="Times New Roman"/>
          <w:sz w:val="32"/>
          <w:szCs w:val="32"/>
        </w:rPr>
        <w:t>迁移试验是根据预测的目标浸出物开展的研究，包括包材中的可提取物及其降解产物、包材与化妆品反应产生的产物等。迁移试验所用的分析方法应进行方法学验证，以证实其方法能灵敏、准确、稳定地检出化妆品中的浸出物。必要时，可选择开展吸附试验，以考察包材吸附对化妆品成分的影响。</w:t>
      </w:r>
    </w:p>
    <w:p w14:paraId="41F1BF03" w14:textId="77777777" w:rsidR="006A297E" w:rsidRPr="00045B84" w:rsidRDefault="00B132CA" w:rsidP="00353188">
      <w:pPr>
        <w:spacing w:after="120" w:line="560" w:lineRule="exact"/>
        <w:ind w:firstLineChars="200" w:firstLine="640"/>
        <w:jc w:val="both"/>
        <w:rPr>
          <w:rFonts w:ascii="Times New Roman" w:eastAsia="仿宋_GB2312" w:hAnsi="Times New Roman" w:cs="Times New Roman"/>
          <w:sz w:val="32"/>
          <w:szCs w:val="32"/>
        </w:rPr>
      </w:pPr>
      <w:r w:rsidRPr="00045B84">
        <w:rPr>
          <w:rFonts w:ascii="Times New Roman" w:eastAsia="仿宋_GB2312" w:hAnsi="Times New Roman" w:cs="Times New Roman"/>
          <w:sz w:val="32"/>
          <w:szCs w:val="32"/>
        </w:rPr>
        <w:t>在进行迁移试验时，应根据不同包材的材质与化妆品的种类，针对性的设计实验方案，关注以下项目。</w:t>
      </w:r>
    </w:p>
    <w:p w14:paraId="7239A7AF" w14:textId="77777777" w:rsidR="00B132CA" w:rsidRPr="00045B84" w:rsidRDefault="00B132CA" w:rsidP="00353188">
      <w:pPr>
        <w:widowControl w:val="0"/>
        <w:spacing w:after="120" w:line="560" w:lineRule="exact"/>
        <w:ind w:firstLineChars="200" w:firstLine="640"/>
        <w:rPr>
          <w:rFonts w:ascii="Times New Roman" w:eastAsia="仿宋_GB2312" w:hAnsi="Times New Roman" w:cs="Times New Roman"/>
          <w:color w:val="000000"/>
          <w:sz w:val="32"/>
          <w:szCs w:val="32"/>
        </w:rPr>
      </w:pPr>
      <w:r w:rsidRPr="00045B84">
        <w:rPr>
          <w:rFonts w:ascii="Times New Roman" w:eastAsia="仿宋_GB2312" w:hAnsi="Times New Roman" w:cs="Times New Roman"/>
          <w:color w:val="000000"/>
          <w:sz w:val="32"/>
          <w:szCs w:val="32"/>
        </w:rPr>
        <w:t xml:space="preserve">1. </w:t>
      </w:r>
      <w:r w:rsidRPr="00045B84">
        <w:rPr>
          <w:rFonts w:ascii="Times New Roman" w:eastAsia="仿宋_GB2312" w:hAnsi="Times New Roman" w:cs="Times New Roman"/>
          <w:color w:val="000000"/>
          <w:sz w:val="32"/>
          <w:szCs w:val="32"/>
        </w:rPr>
        <w:t>塑料</w:t>
      </w:r>
    </w:p>
    <w:p w14:paraId="28E2DD5C" w14:textId="77777777" w:rsidR="00B132CA" w:rsidRPr="00045B84" w:rsidRDefault="00B132CA" w:rsidP="00353188">
      <w:pPr>
        <w:widowControl w:val="0"/>
        <w:spacing w:after="120" w:line="560" w:lineRule="exact"/>
        <w:ind w:firstLineChars="200" w:firstLine="640"/>
        <w:rPr>
          <w:rFonts w:ascii="Times New Roman" w:eastAsia="仿宋_GB2312" w:hAnsi="Times New Roman" w:cs="Times New Roman"/>
          <w:color w:val="000000"/>
          <w:sz w:val="32"/>
          <w:szCs w:val="32"/>
        </w:rPr>
      </w:pPr>
      <w:r w:rsidRPr="00045B84">
        <w:rPr>
          <w:rFonts w:ascii="Times New Roman" w:eastAsia="仿宋_GB2312" w:hAnsi="Times New Roman" w:cs="Times New Roman"/>
          <w:color w:val="000000"/>
          <w:sz w:val="32"/>
          <w:szCs w:val="32"/>
        </w:rPr>
        <w:t>残留单体、添加剂及其降解产物等的迁移等。</w:t>
      </w:r>
    </w:p>
    <w:p w14:paraId="2252E4C5" w14:textId="77777777" w:rsidR="00B132CA" w:rsidRPr="00045B84" w:rsidRDefault="00B132CA" w:rsidP="00353188">
      <w:pPr>
        <w:widowControl w:val="0"/>
        <w:spacing w:after="120" w:line="560" w:lineRule="exact"/>
        <w:ind w:firstLineChars="200" w:firstLine="640"/>
        <w:rPr>
          <w:rFonts w:ascii="Times New Roman" w:eastAsia="仿宋_GB2312" w:hAnsi="Times New Roman" w:cs="Times New Roman"/>
          <w:color w:val="000000"/>
          <w:sz w:val="32"/>
          <w:szCs w:val="32"/>
        </w:rPr>
      </w:pPr>
      <w:r w:rsidRPr="00045B84">
        <w:rPr>
          <w:rFonts w:ascii="Times New Roman" w:eastAsia="仿宋_GB2312" w:hAnsi="Times New Roman" w:cs="Times New Roman"/>
          <w:color w:val="000000"/>
          <w:sz w:val="32"/>
          <w:szCs w:val="32"/>
        </w:rPr>
        <w:t xml:space="preserve">2. </w:t>
      </w:r>
      <w:r w:rsidRPr="00045B84">
        <w:rPr>
          <w:rFonts w:ascii="Times New Roman" w:eastAsia="仿宋_GB2312" w:hAnsi="Times New Roman" w:cs="Times New Roman"/>
          <w:color w:val="000000"/>
          <w:sz w:val="32"/>
          <w:szCs w:val="32"/>
        </w:rPr>
        <w:t>玻璃</w:t>
      </w:r>
    </w:p>
    <w:p w14:paraId="611F24F1" w14:textId="77777777" w:rsidR="00B132CA" w:rsidRPr="00045B84" w:rsidRDefault="00B132CA" w:rsidP="00353188">
      <w:pPr>
        <w:widowControl w:val="0"/>
        <w:spacing w:after="120" w:line="560" w:lineRule="exact"/>
        <w:ind w:firstLineChars="200" w:firstLine="640"/>
        <w:rPr>
          <w:rFonts w:ascii="Times New Roman" w:eastAsia="仿宋_GB2312" w:hAnsi="Times New Roman" w:cs="Times New Roman"/>
          <w:color w:val="000000"/>
          <w:sz w:val="32"/>
          <w:szCs w:val="32"/>
        </w:rPr>
      </w:pPr>
      <w:r w:rsidRPr="00045B84">
        <w:rPr>
          <w:rFonts w:ascii="Times New Roman" w:eastAsia="仿宋_GB2312" w:hAnsi="Times New Roman" w:cs="Times New Roman"/>
          <w:color w:val="000000"/>
          <w:sz w:val="32"/>
          <w:szCs w:val="32"/>
        </w:rPr>
        <w:t>碱性离子的释放对化妆品</w:t>
      </w:r>
      <w:r w:rsidRPr="00045B84">
        <w:rPr>
          <w:rFonts w:ascii="Times New Roman" w:eastAsia="仿宋_GB2312" w:hAnsi="Times New Roman" w:cs="Times New Roman"/>
          <w:color w:val="000000"/>
          <w:sz w:val="32"/>
          <w:szCs w:val="32"/>
        </w:rPr>
        <w:t>pH</w:t>
      </w:r>
      <w:r w:rsidRPr="00045B84">
        <w:rPr>
          <w:rFonts w:ascii="Times New Roman" w:eastAsia="仿宋_GB2312" w:hAnsi="Times New Roman" w:cs="Times New Roman"/>
          <w:color w:val="000000"/>
          <w:sz w:val="32"/>
          <w:szCs w:val="32"/>
        </w:rPr>
        <w:t>的影响；有害元素的迁移；含有着色剂的避光玻璃中添加剂的迁移。对于内部镀膜、涂膜等具膜的玻璃容器，</w:t>
      </w:r>
      <w:r w:rsidR="00FD4BB7" w:rsidRPr="00045B84">
        <w:rPr>
          <w:rFonts w:ascii="Times New Roman" w:eastAsia="仿宋_GB2312" w:hAnsi="Times New Roman" w:cs="Times New Roman"/>
          <w:color w:val="000000"/>
          <w:sz w:val="32"/>
          <w:szCs w:val="32"/>
        </w:rPr>
        <w:t>膜</w:t>
      </w:r>
      <w:r w:rsidR="00FD4BB7">
        <w:rPr>
          <w:rFonts w:ascii="Times New Roman" w:eastAsia="仿宋_GB2312" w:hAnsi="Times New Roman" w:cs="Times New Roman" w:hint="eastAsia"/>
          <w:color w:val="000000"/>
          <w:sz w:val="32"/>
          <w:szCs w:val="32"/>
        </w:rPr>
        <w:t>的完整性即</w:t>
      </w:r>
      <w:r w:rsidR="004A6B5E">
        <w:rPr>
          <w:rFonts w:ascii="Times New Roman" w:eastAsia="仿宋_GB2312" w:hAnsi="Times New Roman" w:cs="Times New Roman"/>
          <w:color w:val="000000"/>
          <w:sz w:val="32"/>
          <w:szCs w:val="32"/>
        </w:rPr>
        <w:t>膜</w:t>
      </w:r>
      <w:r w:rsidRPr="00045B84">
        <w:rPr>
          <w:rFonts w:ascii="Times New Roman" w:eastAsia="仿宋_GB2312" w:hAnsi="Times New Roman" w:cs="Times New Roman"/>
          <w:color w:val="000000"/>
          <w:sz w:val="32"/>
          <w:szCs w:val="32"/>
        </w:rPr>
        <w:t>内的添加剂的迁移等。</w:t>
      </w:r>
    </w:p>
    <w:p w14:paraId="02D9276B" w14:textId="77777777" w:rsidR="00B132CA" w:rsidRPr="00045B84" w:rsidRDefault="00B132CA" w:rsidP="00353188">
      <w:pPr>
        <w:widowControl w:val="0"/>
        <w:spacing w:after="120" w:line="560" w:lineRule="exact"/>
        <w:ind w:firstLineChars="200" w:firstLine="640"/>
        <w:rPr>
          <w:rFonts w:ascii="Times New Roman" w:eastAsia="仿宋_GB2312" w:hAnsi="Times New Roman" w:cs="Times New Roman"/>
          <w:color w:val="000000"/>
          <w:sz w:val="32"/>
          <w:szCs w:val="32"/>
        </w:rPr>
      </w:pPr>
      <w:r w:rsidRPr="00045B84">
        <w:rPr>
          <w:rFonts w:ascii="Times New Roman" w:eastAsia="仿宋_GB2312" w:hAnsi="Times New Roman" w:cs="Times New Roman"/>
          <w:color w:val="000000"/>
          <w:sz w:val="32"/>
          <w:szCs w:val="32"/>
        </w:rPr>
        <w:t xml:space="preserve">3. </w:t>
      </w:r>
      <w:r w:rsidRPr="00045B84">
        <w:rPr>
          <w:rFonts w:ascii="Times New Roman" w:eastAsia="仿宋_GB2312" w:hAnsi="Times New Roman" w:cs="Times New Roman"/>
          <w:color w:val="000000"/>
          <w:sz w:val="32"/>
          <w:szCs w:val="32"/>
        </w:rPr>
        <w:t>金属</w:t>
      </w:r>
    </w:p>
    <w:p w14:paraId="5FC9DCA1" w14:textId="77777777" w:rsidR="00B132CA" w:rsidRPr="00045B84" w:rsidRDefault="00B132CA" w:rsidP="00353188">
      <w:pPr>
        <w:widowControl w:val="0"/>
        <w:spacing w:after="120" w:line="560" w:lineRule="exact"/>
        <w:ind w:firstLineChars="200" w:firstLine="640"/>
        <w:rPr>
          <w:rFonts w:ascii="Times New Roman" w:eastAsia="仿宋_GB2312" w:hAnsi="Times New Roman" w:cs="Times New Roman"/>
          <w:color w:val="000000"/>
          <w:sz w:val="32"/>
          <w:szCs w:val="32"/>
        </w:rPr>
      </w:pPr>
      <w:r w:rsidRPr="00045B84">
        <w:rPr>
          <w:rFonts w:ascii="Times New Roman" w:eastAsia="仿宋_GB2312" w:hAnsi="Times New Roman" w:cs="Times New Roman"/>
          <w:color w:val="000000"/>
          <w:sz w:val="32"/>
          <w:szCs w:val="32"/>
        </w:rPr>
        <w:t>金属离子的迁移；内容物对金属的腐蚀；金属涂层在试验前后的完整性，涂层中的添加剂的迁移等。</w:t>
      </w:r>
    </w:p>
    <w:p w14:paraId="5E220580" w14:textId="77777777" w:rsidR="00B132CA" w:rsidRPr="00045B84" w:rsidRDefault="00B132CA" w:rsidP="00353188">
      <w:pPr>
        <w:widowControl w:val="0"/>
        <w:spacing w:after="120" w:line="560" w:lineRule="exact"/>
        <w:ind w:firstLineChars="200" w:firstLine="640"/>
        <w:rPr>
          <w:rFonts w:ascii="Times New Roman" w:eastAsia="仿宋_GB2312" w:hAnsi="Times New Roman" w:cs="Times New Roman"/>
          <w:color w:val="000000"/>
          <w:sz w:val="32"/>
          <w:szCs w:val="32"/>
        </w:rPr>
      </w:pPr>
      <w:r w:rsidRPr="00045B84">
        <w:rPr>
          <w:rFonts w:ascii="Times New Roman" w:eastAsia="仿宋_GB2312" w:hAnsi="Times New Roman" w:cs="Times New Roman"/>
          <w:color w:val="000000"/>
          <w:sz w:val="32"/>
          <w:szCs w:val="32"/>
        </w:rPr>
        <w:lastRenderedPageBreak/>
        <w:t xml:space="preserve">4. </w:t>
      </w:r>
      <w:r w:rsidRPr="00045B84">
        <w:rPr>
          <w:rFonts w:ascii="Times New Roman" w:eastAsia="仿宋_GB2312" w:hAnsi="Times New Roman" w:cs="Times New Roman"/>
          <w:color w:val="000000"/>
          <w:sz w:val="32"/>
          <w:szCs w:val="32"/>
        </w:rPr>
        <w:t>橡胶</w:t>
      </w:r>
    </w:p>
    <w:p w14:paraId="5A39D764" w14:textId="77777777" w:rsidR="00B132CA" w:rsidRPr="00045B84" w:rsidRDefault="00B132CA" w:rsidP="00353188">
      <w:pPr>
        <w:widowControl w:val="0"/>
        <w:spacing w:after="120" w:line="560" w:lineRule="exact"/>
        <w:ind w:firstLineChars="200" w:firstLine="640"/>
        <w:rPr>
          <w:rFonts w:ascii="Times New Roman" w:eastAsia="仿宋_GB2312" w:hAnsi="Times New Roman" w:cs="Times New Roman"/>
          <w:color w:val="000000"/>
          <w:sz w:val="32"/>
          <w:szCs w:val="32"/>
        </w:rPr>
      </w:pPr>
      <w:r w:rsidRPr="00045B84">
        <w:rPr>
          <w:rFonts w:ascii="Times New Roman" w:eastAsia="仿宋_GB2312" w:hAnsi="Times New Roman" w:cs="Times New Roman"/>
          <w:color w:val="000000"/>
          <w:sz w:val="32"/>
          <w:szCs w:val="32"/>
        </w:rPr>
        <w:t>残留单体、添加剂及其降解产物等的迁移。对于覆膜、涂膜等具膜的橡胶配件，</w:t>
      </w:r>
      <w:r w:rsidR="00FD4BB7">
        <w:rPr>
          <w:rFonts w:ascii="Times New Roman" w:eastAsia="仿宋_GB2312" w:hAnsi="Times New Roman" w:cs="Times New Roman" w:hint="eastAsia"/>
          <w:color w:val="000000"/>
          <w:sz w:val="32"/>
          <w:szCs w:val="32"/>
        </w:rPr>
        <w:t>膜</w:t>
      </w:r>
      <w:r w:rsidR="00FD4BB7">
        <w:rPr>
          <w:rFonts w:ascii="Times New Roman" w:eastAsia="仿宋_GB2312" w:hAnsi="Times New Roman" w:cs="Times New Roman"/>
          <w:color w:val="000000"/>
          <w:sz w:val="32"/>
          <w:szCs w:val="32"/>
        </w:rPr>
        <w:t>的完整性及</w:t>
      </w:r>
      <w:r w:rsidRPr="00045B84">
        <w:rPr>
          <w:rFonts w:ascii="Times New Roman" w:eastAsia="仿宋_GB2312" w:hAnsi="Times New Roman" w:cs="Times New Roman"/>
          <w:color w:val="000000"/>
          <w:sz w:val="32"/>
          <w:szCs w:val="32"/>
        </w:rPr>
        <w:t>膜内的添加剂的迁移等。</w:t>
      </w:r>
    </w:p>
    <w:p w14:paraId="7808F3A3" w14:textId="77777777" w:rsidR="00B132CA" w:rsidRPr="00045B84" w:rsidRDefault="00B132CA" w:rsidP="00353188">
      <w:pPr>
        <w:widowControl w:val="0"/>
        <w:spacing w:after="120" w:line="560" w:lineRule="exact"/>
        <w:ind w:firstLineChars="200" w:firstLine="640"/>
        <w:rPr>
          <w:rFonts w:ascii="Times New Roman" w:eastAsia="仿宋_GB2312" w:hAnsi="Times New Roman" w:cs="Times New Roman"/>
          <w:color w:val="000000"/>
          <w:sz w:val="32"/>
          <w:szCs w:val="32"/>
        </w:rPr>
      </w:pPr>
      <w:r w:rsidRPr="00045B84">
        <w:rPr>
          <w:rFonts w:ascii="Times New Roman" w:eastAsia="仿宋_GB2312" w:hAnsi="Times New Roman" w:cs="Times New Roman"/>
          <w:color w:val="000000"/>
          <w:sz w:val="32"/>
          <w:szCs w:val="32"/>
        </w:rPr>
        <w:t xml:space="preserve">5. </w:t>
      </w:r>
      <w:r w:rsidRPr="00045B84">
        <w:rPr>
          <w:rFonts w:ascii="Times New Roman" w:eastAsia="仿宋_GB2312" w:hAnsi="Times New Roman" w:cs="Times New Roman"/>
          <w:color w:val="000000"/>
          <w:sz w:val="32"/>
          <w:szCs w:val="32"/>
        </w:rPr>
        <w:t>陶瓷</w:t>
      </w:r>
    </w:p>
    <w:p w14:paraId="0A77AC07" w14:textId="77777777" w:rsidR="00B132CA" w:rsidRPr="00045B84" w:rsidRDefault="00B132CA" w:rsidP="00353188">
      <w:pPr>
        <w:widowControl w:val="0"/>
        <w:spacing w:after="120" w:line="560" w:lineRule="exact"/>
        <w:ind w:firstLineChars="200" w:firstLine="640"/>
        <w:rPr>
          <w:rFonts w:ascii="Times New Roman" w:eastAsia="仿宋_GB2312" w:hAnsi="Times New Roman" w:cs="Times New Roman"/>
          <w:color w:val="000000"/>
          <w:sz w:val="32"/>
          <w:szCs w:val="32"/>
        </w:rPr>
      </w:pPr>
      <w:r w:rsidRPr="00045B84">
        <w:rPr>
          <w:rFonts w:ascii="Times New Roman" w:eastAsia="仿宋_GB2312" w:hAnsi="Times New Roman" w:cs="Times New Roman"/>
          <w:color w:val="000000"/>
          <w:sz w:val="32"/>
          <w:szCs w:val="32"/>
        </w:rPr>
        <w:t>陶瓷釉中有害元素的迁移，对于内部镀膜、涂膜等具膜的陶瓷容器，</w:t>
      </w:r>
      <w:r w:rsidR="00FD4BB7">
        <w:rPr>
          <w:rFonts w:ascii="Times New Roman" w:eastAsia="仿宋_GB2312" w:hAnsi="Times New Roman" w:cs="Times New Roman" w:hint="eastAsia"/>
          <w:color w:val="000000"/>
          <w:sz w:val="32"/>
          <w:szCs w:val="32"/>
        </w:rPr>
        <w:t>膜</w:t>
      </w:r>
      <w:r w:rsidR="00FD4BB7">
        <w:rPr>
          <w:rFonts w:ascii="Times New Roman" w:eastAsia="仿宋_GB2312" w:hAnsi="Times New Roman" w:cs="Times New Roman"/>
          <w:color w:val="000000"/>
          <w:sz w:val="32"/>
          <w:szCs w:val="32"/>
        </w:rPr>
        <w:t>的完整性及</w:t>
      </w:r>
      <w:r w:rsidRPr="00045B84">
        <w:rPr>
          <w:rFonts w:ascii="Times New Roman" w:eastAsia="仿宋_GB2312" w:hAnsi="Times New Roman" w:cs="Times New Roman"/>
          <w:color w:val="000000"/>
          <w:sz w:val="32"/>
          <w:szCs w:val="32"/>
        </w:rPr>
        <w:t>膜内的添加剂的迁移等。</w:t>
      </w:r>
    </w:p>
    <w:p w14:paraId="2C0F4D1B" w14:textId="77777777" w:rsidR="00B132CA" w:rsidRPr="00045B84" w:rsidRDefault="00B132CA" w:rsidP="00353188">
      <w:pPr>
        <w:widowControl w:val="0"/>
        <w:spacing w:after="120" w:line="560" w:lineRule="exact"/>
        <w:ind w:firstLineChars="200" w:firstLine="640"/>
        <w:rPr>
          <w:rFonts w:ascii="Times New Roman" w:eastAsia="仿宋_GB2312" w:hAnsi="Times New Roman" w:cs="Times New Roman"/>
          <w:color w:val="000000"/>
          <w:sz w:val="32"/>
          <w:szCs w:val="32"/>
        </w:rPr>
      </w:pPr>
      <w:r w:rsidRPr="00045B84">
        <w:rPr>
          <w:rFonts w:ascii="Times New Roman" w:eastAsia="仿宋_GB2312" w:hAnsi="Times New Roman" w:cs="Times New Roman"/>
          <w:color w:val="000000"/>
          <w:sz w:val="32"/>
          <w:szCs w:val="32"/>
        </w:rPr>
        <w:t xml:space="preserve">6. </w:t>
      </w:r>
      <w:r w:rsidRPr="00045B84">
        <w:rPr>
          <w:rFonts w:ascii="Times New Roman" w:eastAsia="仿宋_GB2312" w:hAnsi="Times New Roman" w:cs="Times New Roman"/>
          <w:color w:val="000000"/>
          <w:sz w:val="32"/>
          <w:szCs w:val="32"/>
        </w:rPr>
        <w:t>膜布</w:t>
      </w:r>
    </w:p>
    <w:p w14:paraId="620DC000" w14:textId="77777777" w:rsidR="00B132CA" w:rsidRPr="00045B84" w:rsidRDefault="00B132CA" w:rsidP="00353188">
      <w:pPr>
        <w:widowControl w:val="0"/>
        <w:spacing w:after="120" w:line="560" w:lineRule="exact"/>
        <w:ind w:firstLineChars="200" w:firstLine="640"/>
        <w:rPr>
          <w:rFonts w:ascii="Times New Roman" w:eastAsia="仿宋_GB2312" w:hAnsi="Times New Roman" w:cs="Times New Roman"/>
          <w:color w:val="000000"/>
          <w:sz w:val="32"/>
          <w:szCs w:val="32"/>
        </w:rPr>
      </w:pPr>
      <w:r w:rsidRPr="00045B84">
        <w:rPr>
          <w:rFonts w:ascii="Times New Roman" w:eastAsia="仿宋_GB2312" w:hAnsi="Times New Roman" w:cs="Times New Roman"/>
          <w:color w:val="000000"/>
          <w:sz w:val="32"/>
          <w:szCs w:val="32"/>
        </w:rPr>
        <w:t>荧光增白剂等添加剂的迁移。</w:t>
      </w:r>
    </w:p>
    <w:p w14:paraId="448BACDF" w14:textId="77777777" w:rsidR="00B132CA" w:rsidRPr="00045B84" w:rsidRDefault="00B132CA" w:rsidP="00353188">
      <w:pPr>
        <w:widowControl w:val="0"/>
        <w:spacing w:after="120" w:line="560" w:lineRule="exact"/>
        <w:ind w:firstLineChars="200" w:firstLine="640"/>
        <w:rPr>
          <w:rFonts w:ascii="Times New Roman" w:eastAsia="仿宋_GB2312" w:hAnsi="Times New Roman" w:cs="Times New Roman"/>
          <w:color w:val="000000"/>
          <w:sz w:val="32"/>
          <w:szCs w:val="32"/>
        </w:rPr>
      </w:pPr>
      <w:r w:rsidRPr="00045B84">
        <w:rPr>
          <w:rFonts w:ascii="Times New Roman" w:eastAsia="仿宋_GB2312" w:hAnsi="Times New Roman" w:cs="Times New Roman"/>
          <w:color w:val="000000"/>
          <w:sz w:val="32"/>
          <w:szCs w:val="32"/>
        </w:rPr>
        <w:t xml:space="preserve">7. </w:t>
      </w:r>
      <w:r w:rsidRPr="00045B84">
        <w:rPr>
          <w:rFonts w:ascii="Times New Roman" w:eastAsia="仿宋_GB2312" w:hAnsi="Times New Roman" w:cs="Times New Roman"/>
          <w:color w:val="000000"/>
          <w:sz w:val="32"/>
          <w:szCs w:val="32"/>
        </w:rPr>
        <w:t>胶囊壳</w:t>
      </w:r>
    </w:p>
    <w:p w14:paraId="3D73BDEE" w14:textId="77777777" w:rsidR="00B132CA" w:rsidRPr="00045B84" w:rsidRDefault="00B132CA" w:rsidP="00353188">
      <w:pPr>
        <w:widowControl w:val="0"/>
        <w:spacing w:after="120" w:line="560" w:lineRule="exact"/>
        <w:ind w:firstLineChars="200" w:firstLine="640"/>
        <w:rPr>
          <w:rFonts w:ascii="Times New Roman" w:eastAsia="仿宋_GB2312" w:hAnsi="Times New Roman" w:cs="Times New Roman"/>
          <w:color w:val="000000"/>
          <w:sz w:val="32"/>
          <w:szCs w:val="32"/>
        </w:rPr>
      </w:pPr>
      <w:r w:rsidRPr="00045B84">
        <w:rPr>
          <w:rFonts w:ascii="Times New Roman" w:eastAsia="仿宋_GB2312" w:hAnsi="Times New Roman" w:cs="Times New Roman"/>
          <w:color w:val="000000"/>
          <w:sz w:val="32"/>
          <w:szCs w:val="32"/>
        </w:rPr>
        <w:t>着色剂等添加剂的迁移。</w:t>
      </w:r>
    </w:p>
    <w:p w14:paraId="1C4A21EA" w14:textId="77777777" w:rsidR="00B132CA" w:rsidRPr="00045B84" w:rsidRDefault="00B132CA" w:rsidP="00353188">
      <w:pPr>
        <w:widowControl w:val="0"/>
        <w:spacing w:after="120" w:line="560" w:lineRule="exact"/>
        <w:ind w:firstLineChars="200" w:firstLine="640"/>
        <w:rPr>
          <w:rFonts w:ascii="Times New Roman" w:eastAsia="仿宋_GB2312" w:hAnsi="Times New Roman" w:cs="Times New Roman"/>
          <w:color w:val="000000"/>
          <w:sz w:val="32"/>
          <w:szCs w:val="32"/>
        </w:rPr>
      </w:pPr>
      <w:r w:rsidRPr="00045B84">
        <w:rPr>
          <w:rFonts w:ascii="Times New Roman" w:eastAsia="仿宋_GB2312" w:hAnsi="Times New Roman" w:cs="Times New Roman"/>
          <w:color w:val="000000"/>
          <w:sz w:val="32"/>
          <w:szCs w:val="32"/>
        </w:rPr>
        <w:t xml:space="preserve">8. </w:t>
      </w:r>
      <w:r w:rsidRPr="00045B84">
        <w:rPr>
          <w:rFonts w:ascii="Times New Roman" w:eastAsia="仿宋_GB2312" w:hAnsi="Times New Roman" w:cs="Times New Roman"/>
          <w:color w:val="000000"/>
          <w:sz w:val="32"/>
          <w:szCs w:val="32"/>
        </w:rPr>
        <w:t>其他</w:t>
      </w:r>
    </w:p>
    <w:p w14:paraId="6303C84D" w14:textId="77777777" w:rsidR="00B132CA" w:rsidRPr="00045B84" w:rsidRDefault="00B132CA" w:rsidP="00353188">
      <w:pPr>
        <w:widowControl w:val="0"/>
        <w:spacing w:after="120" w:line="560" w:lineRule="exact"/>
        <w:ind w:firstLineChars="200" w:firstLine="640"/>
        <w:rPr>
          <w:rFonts w:ascii="Times New Roman" w:eastAsia="仿宋_GB2312" w:hAnsi="Times New Roman" w:cs="Times New Roman"/>
          <w:color w:val="000000"/>
          <w:sz w:val="32"/>
          <w:szCs w:val="32"/>
        </w:rPr>
      </w:pPr>
      <w:r w:rsidRPr="00045B84">
        <w:rPr>
          <w:rFonts w:ascii="Times New Roman" w:eastAsia="仿宋_GB2312" w:hAnsi="Times New Roman" w:cs="Times New Roman"/>
          <w:color w:val="000000"/>
          <w:sz w:val="32"/>
          <w:szCs w:val="32"/>
        </w:rPr>
        <w:t>参考上述包材关注内容，设计迁移试验方案，考察包材与化妆品的相容性。</w:t>
      </w:r>
    </w:p>
    <w:p w14:paraId="232817F4" w14:textId="77777777" w:rsidR="00B132CA" w:rsidRPr="00045B84" w:rsidRDefault="00B132CA" w:rsidP="00353188">
      <w:pPr>
        <w:widowControl w:val="0"/>
        <w:spacing w:after="120" w:line="700" w:lineRule="exact"/>
        <w:ind w:firstLineChars="200" w:firstLine="640"/>
        <w:jc w:val="both"/>
        <w:outlineLvl w:val="0"/>
        <w:rPr>
          <w:rFonts w:ascii="Times New Roman" w:eastAsia="黑体" w:hAnsi="Times New Roman" w:cs="Times New Roman"/>
          <w:sz w:val="32"/>
          <w:szCs w:val="32"/>
          <w14:ligatures w14:val="none"/>
        </w:rPr>
      </w:pPr>
      <w:bookmarkStart w:id="9" w:name="_Toc170297637"/>
      <w:r w:rsidRPr="00045B84">
        <w:rPr>
          <w:rFonts w:ascii="Times New Roman" w:eastAsia="黑体" w:hAnsi="Times New Roman" w:cs="Times New Roman"/>
          <w:sz w:val="32"/>
          <w:szCs w:val="32"/>
          <w14:ligatures w14:val="none"/>
        </w:rPr>
        <w:t>五、结果评价</w:t>
      </w:r>
      <w:bookmarkEnd w:id="9"/>
    </w:p>
    <w:p w14:paraId="542BA748" w14:textId="77777777" w:rsidR="00B132CA" w:rsidRDefault="00B132CA" w:rsidP="00353188">
      <w:pPr>
        <w:widowControl w:val="0"/>
        <w:spacing w:after="120" w:line="560" w:lineRule="exact"/>
        <w:ind w:firstLineChars="200" w:firstLine="640"/>
        <w:rPr>
          <w:rFonts w:ascii="Times New Roman" w:eastAsia="仿宋_GB2312" w:hAnsi="Times New Roman" w:cs="Times New Roman"/>
          <w:color w:val="000000"/>
          <w:sz w:val="32"/>
          <w:szCs w:val="32"/>
        </w:rPr>
      </w:pPr>
      <w:r w:rsidRPr="00045B84">
        <w:rPr>
          <w:rFonts w:ascii="Times New Roman" w:eastAsia="仿宋_GB2312" w:hAnsi="Times New Roman" w:cs="Times New Roman"/>
          <w:color w:val="000000"/>
          <w:sz w:val="32"/>
          <w:szCs w:val="32"/>
        </w:rPr>
        <w:t>根据提取试验获得的可提取物信息及迁移试验获得的浸出物信息，分析汇总浸出物的种类及含量，进行必要的化合物归属或结构鉴定，若《化妆品安全技术规范》有限量规定的应符合其规定；未规定限量的，应进行安全性风险评估，确保在正常、合理及可预见的适用条件下不得对人体健康产生危害。如有必要，可结合</w:t>
      </w:r>
      <w:r w:rsidRPr="00045B84">
        <w:rPr>
          <w:rFonts w:ascii="Times New Roman" w:eastAsia="仿宋_GB2312" w:hAnsi="Times New Roman" w:cs="Times New Roman"/>
          <w:bCs/>
          <w:color w:val="000000"/>
          <w:sz w:val="32"/>
          <w:szCs w:val="32"/>
        </w:rPr>
        <w:t>稳定性试验结果</w:t>
      </w:r>
      <w:r w:rsidRPr="00045B84">
        <w:rPr>
          <w:rFonts w:ascii="Times New Roman" w:eastAsia="仿宋_GB2312" w:hAnsi="Times New Roman" w:cs="Times New Roman"/>
          <w:color w:val="000000"/>
          <w:sz w:val="32"/>
          <w:szCs w:val="32"/>
        </w:rPr>
        <w:t>综合评估化妆品与包材的相互</w:t>
      </w:r>
      <w:r w:rsidRPr="00045B84">
        <w:rPr>
          <w:rFonts w:ascii="Times New Roman" w:eastAsia="仿宋_GB2312" w:hAnsi="Times New Roman" w:cs="Times New Roman"/>
          <w:color w:val="000000"/>
          <w:sz w:val="32"/>
          <w:szCs w:val="32"/>
        </w:rPr>
        <w:lastRenderedPageBreak/>
        <w:t>作用。分析包材和化妆品的相容性是否会影响化妆品的质量和安全。</w:t>
      </w:r>
    </w:p>
    <w:p w14:paraId="3F77115C" w14:textId="332BB395" w:rsidR="004E64A1" w:rsidRPr="004E64A1" w:rsidRDefault="004E64A1" w:rsidP="004E64A1">
      <w:pPr>
        <w:widowControl w:val="0"/>
        <w:spacing w:after="120" w:line="700" w:lineRule="exact"/>
        <w:ind w:firstLineChars="200" w:firstLine="640"/>
        <w:jc w:val="both"/>
        <w:outlineLvl w:val="0"/>
        <w:rPr>
          <w:rFonts w:ascii="Times New Roman" w:eastAsia="黑体" w:hAnsi="Times New Roman" w:cs="Times New Roman"/>
          <w:sz w:val="32"/>
          <w:szCs w:val="32"/>
          <w14:ligatures w14:val="none"/>
        </w:rPr>
      </w:pPr>
      <w:bookmarkStart w:id="10" w:name="_Toc170297638"/>
      <w:r>
        <w:rPr>
          <w:rFonts w:ascii="Times New Roman" w:eastAsia="黑体" w:hAnsi="Times New Roman" w:cs="Times New Roman" w:hint="eastAsia"/>
          <w:sz w:val="32"/>
          <w:szCs w:val="32"/>
          <w14:ligatures w14:val="none"/>
        </w:rPr>
        <w:t>六、说明</w:t>
      </w:r>
      <w:bookmarkEnd w:id="10"/>
    </w:p>
    <w:p w14:paraId="5366E75B" w14:textId="33A684A3" w:rsidR="004E64A1" w:rsidRPr="004E64A1" w:rsidRDefault="00C25EAF" w:rsidP="00353188">
      <w:pPr>
        <w:widowControl w:val="0"/>
        <w:spacing w:after="120" w:line="560" w:lineRule="exact"/>
        <w:ind w:firstLineChars="200" w:firstLine="640"/>
        <w:rPr>
          <w:rFonts w:ascii="Times New Roman" w:eastAsia="仿宋_GB2312" w:hAnsi="Times New Roman" w:cs="Times New Roman"/>
          <w:color w:val="000000"/>
          <w:sz w:val="32"/>
          <w:szCs w:val="32"/>
        </w:rPr>
      </w:pPr>
      <w:r w:rsidRPr="00C25EAF">
        <w:rPr>
          <w:rFonts w:ascii="Times New Roman" w:eastAsia="仿宋_GB2312" w:hAnsi="Times New Roman" w:cs="Times New Roman" w:hint="eastAsia"/>
          <w:color w:val="000000"/>
          <w:sz w:val="32"/>
          <w:szCs w:val="32"/>
        </w:rPr>
        <w:t>化妆品注册人、备案人可以依据国家标准、技术规范、行业标准、国际标准、本技术指南或自建方法开展相关研究，并在安全评估报告中提交相关测试或者评估结论。</w:t>
      </w:r>
    </w:p>
    <w:p w14:paraId="35A7F32A" w14:textId="77777777" w:rsidR="0004518B" w:rsidRPr="0004518B" w:rsidRDefault="0004518B" w:rsidP="0004518B">
      <w:pPr>
        <w:widowControl w:val="0"/>
        <w:spacing w:after="120" w:line="560" w:lineRule="exact"/>
        <w:rPr>
          <w:rFonts w:ascii="Times New Roman" w:eastAsia="仿宋_GB2312" w:hAnsi="Times New Roman" w:cs="Times New Roman"/>
          <w:color w:val="000000"/>
          <w:sz w:val="32"/>
          <w:szCs w:val="32"/>
        </w:rPr>
      </w:pPr>
    </w:p>
    <w:sectPr w:rsidR="0004518B" w:rsidRPr="0004518B" w:rsidSect="005B580D">
      <w:headerReference w:type="even" r:id="rId10"/>
      <w:headerReference w:type="default" r:id="rId11"/>
      <w:footerReference w:type="even" r:id="rId12"/>
      <w:footerReference w:type="default" r:id="rId13"/>
      <w:headerReference w:type="first" r:id="rId14"/>
      <w:footerReference w:type="first" r:id="rId15"/>
      <w:pgSz w:w="11906" w:h="16838" w:code="9"/>
      <w:pgMar w:top="2098" w:right="1474" w:bottom="1985" w:left="158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02B60" w14:textId="77777777" w:rsidR="00AD6E44" w:rsidRDefault="00AD6E44">
      <w:pPr>
        <w:spacing w:line="240" w:lineRule="auto"/>
        <w:ind w:firstLine="643"/>
      </w:pPr>
      <w:r>
        <w:separator/>
      </w:r>
    </w:p>
  </w:endnote>
  <w:endnote w:type="continuationSeparator" w:id="0">
    <w:p w14:paraId="454AAAD7" w14:textId="77777777" w:rsidR="00AD6E44" w:rsidRDefault="00AD6E44">
      <w:pPr>
        <w:spacing w:line="240" w:lineRule="auto"/>
        <w:ind w:firstLine="64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F4F2E" w14:textId="77777777" w:rsidR="006A297E" w:rsidRDefault="00A23406" w:rsidP="003F302C">
    <w:pPr>
      <w:pStyle w:val="a8"/>
      <w:tabs>
        <w:tab w:val="clear" w:pos="4680"/>
        <w:tab w:val="clear" w:pos="9360"/>
        <w:tab w:val="center" w:pos="4153"/>
      </w:tabs>
    </w:pPr>
    <w:r>
      <w:rPr>
        <w:noProof/>
      </w:rPr>
      <mc:AlternateContent>
        <mc:Choice Requires="wps">
          <w:drawing>
            <wp:anchor distT="0" distB="0" distL="114300" distR="114300" simplePos="0" relativeHeight="251662336" behindDoc="0" locked="0" layoutInCell="1" allowOverlap="1" wp14:anchorId="546B11D5" wp14:editId="2A97F165">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8A1CD05" w14:textId="77777777" w:rsidR="006A297E" w:rsidRDefault="006A297E">
                          <w:pPr>
                            <w:pStyle w:val="a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46B11D5" id="_x0000_t202" coordsize="21600,21600" o:spt="202" path="m,l,21600r21600,l21600,xe">
              <v:stroke joinstyle="miter"/>
              <v:path gradientshapeok="t" o:connecttype="rect"/>
            </v:shapetype>
            <v:shape id="文本框 5" o:spid="_x0000_s1026"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18A1CD05" w14:textId="77777777" w:rsidR="006A297E" w:rsidRDefault="006A297E">
                    <w:pPr>
                      <w:pStyle w:val="a8"/>
                    </w:pPr>
                  </w:p>
                </w:txbxContent>
              </v:textbox>
              <w10:wrap anchorx="margin"/>
            </v:shape>
          </w:pict>
        </mc:Fallback>
      </mc:AlternateConten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08BF3" w14:textId="370BF0F7" w:rsidR="006A297E" w:rsidRDefault="006A297E">
    <w:pPr>
      <w:pStyle w:val="a8"/>
      <w:ind w:firstLine="640"/>
    </w:pPr>
  </w:p>
  <w:p w14:paraId="1455A6F2" w14:textId="77777777" w:rsidR="006A297E" w:rsidRDefault="006A297E">
    <w:pPr>
      <w:ind w:firstLine="640"/>
    </w:pPr>
  </w:p>
  <w:p w14:paraId="34F25833" w14:textId="5FFEE20A" w:rsidR="006A297E" w:rsidRDefault="00417608">
    <w:pPr>
      <w:ind w:firstLine="640"/>
    </w:pPr>
    <w:r>
      <w:rPr>
        <w:noProof/>
        <w:sz w:val="28"/>
      </w:rPr>
      <mc:AlternateContent>
        <mc:Choice Requires="wps">
          <w:drawing>
            <wp:anchor distT="0" distB="0" distL="114300" distR="114300" simplePos="0" relativeHeight="251664384" behindDoc="0" locked="0" layoutInCell="1" allowOverlap="1" wp14:anchorId="503273D9" wp14:editId="3A9319FC">
              <wp:simplePos x="0" y="0"/>
              <wp:positionH relativeFrom="margin">
                <wp:posOffset>0</wp:posOffset>
              </wp:positionH>
              <wp:positionV relativeFrom="paragraph">
                <wp:posOffset>0</wp:posOffset>
              </wp:positionV>
              <wp:extent cx="1828800" cy="1828800"/>
              <wp:effectExtent l="0" t="0" r="0" b="0"/>
              <wp:wrapNone/>
              <wp:docPr id="778593118" name="文本框 778593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0162BF" w14:textId="77777777" w:rsidR="00417608" w:rsidRDefault="00417608" w:rsidP="00417608">
                          <w:pPr>
                            <w:rPr>
                              <w:rFonts w:ascii="宋体" w:eastAsia="宋体" w:hAnsi="宋体" w:cs="宋体"/>
                              <w:sz w:val="28"/>
                              <w:szCs w:val="28"/>
                            </w:rPr>
                          </w:pPr>
                          <w:r>
                            <w:rPr>
                              <w:rFonts w:ascii="微软雅黑" w:eastAsia="微软雅黑" w:hAnsi="微软雅黑" w:cs="微软雅黑"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3</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微软雅黑" w:eastAsia="微软雅黑" w:hAnsi="微软雅黑" w:cs="微软雅黑"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03273D9" id="_x0000_t202" coordsize="21600,21600" o:spt="202" path="m,l,21600r21600,l21600,xe">
              <v:stroke joinstyle="miter"/>
              <v:path gradientshapeok="t" o:connecttype="rect"/>
            </v:shapetype>
            <v:shape id="文本框 778593118" o:spid="_x0000_s1027" type="#_x0000_t202" style="position:absolute;left:0;text-align:left;margin-left:0;margin-top:0;width:2in;height:2in;z-index:25166438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5F0162BF" w14:textId="77777777" w:rsidR="00417608" w:rsidRDefault="00417608" w:rsidP="00417608">
                    <w:pPr>
                      <w:rPr>
                        <w:rFonts w:ascii="宋体" w:eastAsia="宋体" w:hAnsi="宋体" w:cs="宋体"/>
                        <w:sz w:val="28"/>
                        <w:szCs w:val="28"/>
                      </w:rPr>
                    </w:pPr>
                    <w:r>
                      <w:rPr>
                        <w:rFonts w:ascii="微软雅黑" w:eastAsia="微软雅黑" w:hAnsi="微软雅黑" w:cs="微软雅黑"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3</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微软雅黑" w:eastAsia="微软雅黑" w:hAnsi="微软雅黑" w:cs="微软雅黑"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DAEF3" w14:textId="77777777" w:rsidR="006A297E" w:rsidRDefault="00A23406">
    <w:pPr>
      <w:pStyle w:val="a8"/>
      <w:ind w:firstLine="560"/>
      <w:jc w:val="center"/>
      <w:rPr>
        <w:rFonts w:ascii="宋体" w:eastAsia="宋体" w:hAnsi="宋体" w:cs="宋体"/>
        <w:sz w:val="28"/>
        <w:szCs w:val="28"/>
      </w:rPr>
    </w:pPr>
    <w:r>
      <w:rPr>
        <w:noProof/>
        <w:sz w:val="28"/>
      </w:rPr>
      <mc:AlternateContent>
        <mc:Choice Requires="wps">
          <w:drawing>
            <wp:anchor distT="0" distB="0" distL="114300" distR="114300" simplePos="0" relativeHeight="251658240" behindDoc="0" locked="0" layoutInCell="1" allowOverlap="1" wp14:anchorId="00414478" wp14:editId="62EC555B">
              <wp:simplePos x="0" y="0"/>
              <wp:positionH relativeFrom="margin">
                <wp:posOffset>4959350</wp:posOffset>
              </wp:positionH>
              <wp:positionV relativeFrom="paragraph">
                <wp:posOffset>-87630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B0BD31" w14:textId="77777777" w:rsidR="006A297E" w:rsidRDefault="00A23406">
                          <w:pPr>
                            <w:rPr>
                              <w:rFonts w:ascii="宋体" w:eastAsia="宋体" w:hAnsi="宋体" w:cs="宋体"/>
                              <w:sz w:val="28"/>
                              <w:szCs w:val="28"/>
                            </w:rPr>
                          </w:pPr>
                          <w:r>
                            <w:rPr>
                              <w:rFonts w:ascii="微软雅黑" w:eastAsia="微软雅黑" w:hAnsi="微软雅黑" w:cs="微软雅黑"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37556">
                            <w:rPr>
                              <w:rFonts w:ascii="宋体" w:eastAsia="宋体" w:hAnsi="宋体" w:cs="宋体"/>
                              <w:noProof/>
                              <w:sz w:val="28"/>
                              <w:szCs w:val="28"/>
                            </w:rPr>
                            <w:t>3</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微软雅黑" w:eastAsia="微软雅黑" w:hAnsi="微软雅黑" w:cs="微软雅黑"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0414478" id="_x0000_t202" coordsize="21600,21600" o:spt="202" path="m,l,21600r21600,l21600,xe">
              <v:stroke joinstyle="miter"/>
              <v:path gradientshapeok="t" o:connecttype="rect"/>
            </v:shapetype>
            <v:shape id="文本框 3" o:spid="_x0000_s1028" type="#_x0000_t202" style="position:absolute;left:0;text-align:left;margin-left:390.5pt;margin-top:-6.9pt;width:2in;height:2in;z-index:2516582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" filled="f" stroked="f" strokeweight=".5pt">
              <v:textbox style="mso-fit-shape-to-text:t" inset="0,0,0,0">
                <w:txbxContent>
                  <w:p w14:paraId="7CB0BD31" w14:textId="77777777" w:rsidR="006A297E" w:rsidRDefault="00A23406">
                    <w:pPr>
                      <w:rPr>
                        <w:rFonts w:ascii="宋体" w:eastAsia="宋体" w:hAnsi="宋体" w:cs="宋体"/>
                        <w:sz w:val="28"/>
                        <w:szCs w:val="28"/>
                      </w:rPr>
                    </w:pPr>
                    <w:r>
                      <w:rPr>
                        <w:rFonts w:ascii="微软雅黑" w:eastAsia="微软雅黑" w:hAnsi="微软雅黑" w:cs="微软雅黑"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37556">
                      <w:rPr>
                        <w:rFonts w:ascii="宋体" w:eastAsia="宋体" w:hAnsi="宋体" w:cs="宋体"/>
                        <w:noProof/>
                        <w:sz w:val="28"/>
                        <w:szCs w:val="28"/>
                      </w:rPr>
                      <w:t>3</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微软雅黑" w:eastAsia="微软雅黑" w:hAnsi="微软雅黑" w:cs="微软雅黑" w:hint="eastAsia"/>
                        <w:sz w:val="28"/>
                        <w:szCs w:val="28"/>
                      </w:rPr>
                      <w:t>—</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975C8" w14:textId="77777777" w:rsidR="006A297E" w:rsidRDefault="00A23406">
    <w:pPr>
      <w:pStyle w:val="a8"/>
      <w:ind w:firstLine="640"/>
    </w:pPr>
    <w:r>
      <w:rPr>
        <w:noProof/>
      </w:rPr>
      <mc:AlternateContent>
        <mc:Choice Requires="wps">
          <w:drawing>
            <wp:anchor distT="0" distB="0" distL="0" distR="0" simplePos="0" relativeHeight="251656192" behindDoc="0" locked="0" layoutInCell="1" allowOverlap="1" wp14:anchorId="1F9372E2" wp14:editId="76AAFC66">
              <wp:simplePos x="0" y="0"/>
              <wp:positionH relativeFrom="page">
                <wp:align>center</wp:align>
              </wp:positionH>
              <wp:positionV relativeFrom="page">
                <wp:align>bottom</wp:align>
              </wp:positionV>
              <wp:extent cx="443865" cy="443865"/>
              <wp:effectExtent l="0" t="0" r="12065" b="0"/>
              <wp:wrapNone/>
              <wp:docPr id="1" name="Text Box 1" descr="C1 - Internal us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AC2DAE" w14:textId="77777777" w:rsidR="006A297E" w:rsidRDefault="00A23406">
                          <w:pPr>
                            <w:spacing w:after="0"/>
                            <w:rPr>
                              <w:rFonts w:ascii="Arial" w:eastAsia="Arial" w:hAnsi="Arial" w:cs="Arial"/>
                              <w:color w:val="008000"/>
                              <w:sz w:val="18"/>
                              <w:szCs w:val="18"/>
                            </w:rPr>
                          </w:pPr>
                          <w:r>
                            <w:rPr>
                              <w:rFonts w:ascii="Arial" w:eastAsia="Arial" w:hAnsi="Arial" w:cs="Arial"/>
                              <w:color w:val="008000"/>
                              <w:sz w:val="18"/>
                              <w:szCs w:val="18"/>
                            </w:rPr>
                            <w:t>C1 - Internal use</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type w14:anchorId="1F9372E2" id="_x0000_t202" coordsize="21600,21600" o:spt="202" path="m,l,21600r21600,l21600,xe">
              <v:stroke joinstyle="miter"/>
              <v:path gradientshapeok="t" o:connecttype="rect"/>
            </v:shapetype>
            <v:shape id="Text Box 1" o:spid="_x0000_s1029" type="#_x0000_t202" alt="C1 - Internal use" style="position:absolute;left:0;text-align:left;margin-left:0;margin-top:0;width:34.95pt;height:34.95pt;z-index:2516561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" filled="f" stroked="f">
              <v:textbox style="mso-fit-shape-to-text:t" inset="0,0,0,15pt">
                <w:txbxContent>
                  <w:p w14:paraId="59AC2DAE" w14:textId="77777777" w:rsidR="006A297E" w:rsidRDefault="00A23406">
                    <w:pPr>
                      <w:spacing w:after="0"/>
                      <w:rPr>
                        <w:rFonts w:ascii="Arial" w:eastAsia="Arial" w:hAnsi="Arial" w:cs="Arial"/>
                        <w:color w:val="008000"/>
                        <w:sz w:val="18"/>
                        <w:szCs w:val="18"/>
                      </w:rPr>
                    </w:pPr>
                    <w:r>
                      <w:rPr>
                        <w:rFonts w:ascii="Arial" w:eastAsia="Arial" w:hAnsi="Arial" w:cs="Arial"/>
                        <w:color w:val="008000"/>
                        <w:sz w:val="18"/>
                        <w:szCs w:val="18"/>
                      </w:rPr>
                      <w:t>C1 - 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124DF" w14:textId="77777777" w:rsidR="00AD6E44" w:rsidRDefault="00AD6E44">
      <w:pPr>
        <w:spacing w:after="120"/>
        <w:ind w:firstLine="643"/>
      </w:pPr>
      <w:r>
        <w:separator/>
      </w:r>
    </w:p>
  </w:footnote>
  <w:footnote w:type="continuationSeparator" w:id="0">
    <w:p w14:paraId="3E53FBC8" w14:textId="77777777" w:rsidR="00AD6E44" w:rsidRDefault="00AD6E44">
      <w:pPr>
        <w:spacing w:after="120"/>
        <w:ind w:firstLine="64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DC9DE" w14:textId="77777777" w:rsidR="006A297E" w:rsidRDefault="006A297E" w:rsidP="00A23406">
    <w:pPr>
      <w:ind w:firstLine="6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A6773" w14:textId="77777777" w:rsidR="006A297E" w:rsidRDefault="006A297E">
    <w:pPr>
      <w:pStyle w:val="aa"/>
      <w:ind w:firstLine="6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D5AF6" w14:textId="77777777" w:rsidR="006A297E" w:rsidRDefault="006A297E">
    <w:pPr>
      <w:pStyle w:val="aa"/>
      <w:ind w:firstLine="6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933334"/>
    <w:multiLevelType w:val="multilevel"/>
    <w:tmpl w:val="76933334"/>
    <w:lvl w:ilvl="0">
      <w:start w:val="1"/>
      <w:numFmt w:val="none"/>
      <w:pStyle w:val="a"/>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200894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RkOGI5ZmFiY2M5YjZkMjg0NjFmYTYxMjg0OWFhNWMifQ=="/>
  </w:docVars>
  <w:rsids>
    <w:rsidRoot w:val="00A743FA"/>
    <w:rsid w:val="00000922"/>
    <w:rsid w:val="00001029"/>
    <w:rsid w:val="00004176"/>
    <w:rsid w:val="000067B6"/>
    <w:rsid w:val="00006AE0"/>
    <w:rsid w:val="00011551"/>
    <w:rsid w:val="00017803"/>
    <w:rsid w:val="000253F1"/>
    <w:rsid w:val="0002733B"/>
    <w:rsid w:val="0003016C"/>
    <w:rsid w:val="00030335"/>
    <w:rsid w:val="0003795E"/>
    <w:rsid w:val="000419CB"/>
    <w:rsid w:val="000437D2"/>
    <w:rsid w:val="0004446B"/>
    <w:rsid w:val="0004518B"/>
    <w:rsid w:val="00045B84"/>
    <w:rsid w:val="00046EBD"/>
    <w:rsid w:val="0004713A"/>
    <w:rsid w:val="00047819"/>
    <w:rsid w:val="00047C59"/>
    <w:rsid w:val="000501BC"/>
    <w:rsid w:val="00051AB5"/>
    <w:rsid w:val="0005321C"/>
    <w:rsid w:val="00061F6E"/>
    <w:rsid w:val="0006375D"/>
    <w:rsid w:val="0006513A"/>
    <w:rsid w:val="000670F3"/>
    <w:rsid w:val="00067201"/>
    <w:rsid w:val="00074043"/>
    <w:rsid w:val="0007559E"/>
    <w:rsid w:val="0007751E"/>
    <w:rsid w:val="00080820"/>
    <w:rsid w:val="00087368"/>
    <w:rsid w:val="000A0BBF"/>
    <w:rsid w:val="000A37BC"/>
    <w:rsid w:val="000A3CF7"/>
    <w:rsid w:val="000B09AE"/>
    <w:rsid w:val="000B2B0C"/>
    <w:rsid w:val="000C66C7"/>
    <w:rsid w:val="000D1B47"/>
    <w:rsid w:val="000D68E4"/>
    <w:rsid w:val="000D6FB9"/>
    <w:rsid w:val="000D713E"/>
    <w:rsid w:val="000E26C2"/>
    <w:rsid w:val="000E2EDC"/>
    <w:rsid w:val="000F0933"/>
    <w:rsid w:val="000F2192"/>
    <w:rsid w:val="001004B9"/>
    <w:rsid w:val="00104461"/>
    <w:rsid w:val="00107DC8"/>
    <w:rsid w:val="00115019"/>
    <w:rsid w:val="00121E55"/>
    <w:rsid w:val="00127DBF"/>
    <w:rsid w:val="00141A50"/>
    <w:rsid w:val="00142AED"/>
    <w:rsid w:val="00143F5F"/>
    <w:rsid w:val="001450EE"/>
    <w:rsid w:val="00151D00"/>
    <w:rsid w:val="00156A4F"/>
    <w:rsid w:val="0015758F"/>
    <w:rsid w:val="00177122"/>
    <w:rsid w:val="001833FB"/>
    <w:rsid w:val="00183E4F"/>
    <w:rsid w:val="001900C9"/>
    <w:rsid w:val="00192AA6"/>
    <w:rsid w:val="001A4D8E"/>
    <w:rsid w:val="001A5C40"/>
    <w:rsid w:val="001A7E9D"/>
    <w:rsid w:val="001B1635"/>
    <w:rsid w:val="001B319F"/>
    <w:rsid w:val="001B588D"/>
    <w:rsid w:val="001B73AF"/>
    <w:rsid w:val="001B7BEC"/>
    <w:rsid w:val="001C092B"/>
    <w:rsid w:val="001C227B"/>
    <w:rsid w:val="001C30CD"/>
    <w:rsid w:val="001C34E5"/>
    <w:rsid w:val="001C4569"/>
    <w:rsid w:val="001C4BA8"/>
    <w:rsid w:val="001C4BD2"/>
    <w:rsid w:val="001C7CC0"/>
    <w:rsid w:val="001D0B96"/>
    <w:rsid w:val="001E51CA"/>
    <w:rsid w:val="001E5A79"/>
    <w:rsid w:val="001E5FED"/>
    <w:rsid w:val="001E64D3"/>
    <w:rsid w:val="001E715B"/>
    <w:rsid w:val="001F1F7F"/>
    <w:rsid w:val="001F4CC4"/>
    <w:rsid w:val="00201D2B"/>
    <w:rsid w:val="00211079"/>
    <w:rsid w:val="00213AF0"/>
    <w:rsid w:val="00216B2E"/>
    <w:rsid w:val="00216DD9"/>
    <w:rsid w:val="00217BCA"/>
    <w:rsid w:val="002200ED"/>
    <w:rsid w:val="00223C63"/>
    <w:rsid w:val="00226107"/>
    <w:rsid w:val="00227912"/>
    <w:rsid w:val="00230498"/>
    <w:rsid w:val="0023137D"/>
    <w:rsid w:val="00232118"/>
    <w:rsid w:val="002411EC"/>
    <w:rsid w:val="00241381"/>
    <w:rsid w:val="002554A1"/>
    <w:rsid w:val="00260AE2"/>
    <w:rsid w:val="002622E1"/>
    <w:rsid w:val="002626EA"/>
    <w:rsid w:val="00262D4A"/>
    <w:rsid w:val="00262DDA"/>
    <w:rsid w:val="00266556"/>
    <w:rsid w:val="002666A2"/>
    <w:rsid w:val="002716C6"/>
    <w:rsid w:val="00273214"/>
    <w:rsid w:val="002741F5"/>
    <w:rsid w:val="0027664C"/>
    <w:rsid w:val="002843C2"/>
    <w:rsid w:val="00284585"/>
    <w:rsid w:val="002862AB"/>
    <w:rsid w:val="00287ACC"/>
    <w:rsid w:val="002904AB"/>
    <w:rsid w:val="00292E13"/>
    <w:rsid w:val="0029328B"/>
    <w:rsid w:val="00297AFF"/>
    <w:rsid w:val="002A270E"/>
    <w:rsid w:val="002A2C8C"/>
    <w:rsid w:val="002A5971"/>
    <w:rsid w:val="002B2B01"/>
    <w:rsid w:val="002B42BA"/>
    <w:rsid w:val="002C5625"/>
    <w:rsid w:val="002D31BF"/>
    <w:rsid w:val="002D3918"/>
    <w:rsid w:val="002D6BA3"/>
    <w:rsid w:val="002E39E4"/>
    <w:rsid w:val="002E682E"/>
    <w:rsid w:val="002F19ED"/>
    <w:rsid w:val="002F677A"/>
    <w:rsid w:val="00302F54"/>
    <w:rsid w:val="003055C8"/>
    <w:rsid w:val="003111A9"/>
    <w:rsid w:val="00313BE9"/>
    <w:rsid w:val="0031485F"/>
    <w:rsid w:val="00320037"/>
    <w:rsid w:val="00335A6C"/>
    <w:rsid w:val="00336299"/>
    <w:rsid w:val="00340B16"/>
    <w:rsid w:val="00342C35"/>
    <w:rsid w:val="00346234"/>
    <w:rsid w:val="00346328"/>
    <w:rsid w:val="00346502"/>
    <w:rsid w:val="00351B47"/>
    <w:rsid w:val="003523C2"/>
    <w:rsid w:val="00353188"/>
    <w:rsid w:val="00355B4E"/>
    <w:rsid w:val="00357661"/>
    <w:rsid w:val="0037271F"/>
    <w:rsid w:val="00377B1F"/>
    <w:rsid w:val="0038138F"/>
    <w:rsid w:val="00390920"/>
    <w:rsid w:val="00390F30"/>
    <w:rsid w:val="003922FB"/>
    <w:rsid w:val="00394494"/>
    <w:rsid w:val="00395B2C"/>
    <w:rsid w:val="003972FF"/>
    <w:rsid w:val="003A003C"/>
    <w:rsid w:val="003A06A0"/>
    <w:rsid w:val="003A5B2E"/>
    <w:rsid w:val="003B0647"/>
    <w:rsid w:val="003B373A"/>
    <w:rsid w:val="003C4916"/>
    <w:rsid w:val="003C539B"/>
    <w:rsid w:val="003D3B92"/>
    <w:rsid w:val="003D420B"/>
    <w:rsid w:val="003D616D"/>
    <w:rsid w:val="003D658C"/>
    <w:rsid w:val="003D7DFC"/>
    <w:rsid w:val="003F2E30"/>
    <w:rsid w:val="003F302C"/>
    <w:rsid w:val="003F53D0"/>
    <w:rsid w:val="003F793E"/>
    <w:rsid w:val="004026C9"/>
    <w:rsid w:val="004075D4"/>
    <w:rsid w:val="00410B5C"/>
    <w:rsid w:val="00412C71"/>
    <w:rsid w:val="00417608"/>
    <w:rsid w:val="00421146"/>
    <w:rsid w:val="004257F9"/>
    <w:rsid w:val="00426059"/>
    <w:rsid w:val="00426E2B"/>
    <w:rsid w:val="0043086B"/>
    <w:rsid w:val="00431D01"/>
    <w:rsid w:val="00431D44"/>
    <w:rsid w:val="00436BF3"/>
    <w:rsid w:val="00437A05"/>
    <w:rsid w:val="00444295"/>
    <w:rsid w:val="00446516"/>
    <w:rsid w:val="00447EC8"/>
    <w:rsid w:val="00456923"/>
    <w:rsid w:val="00456AB1"/>
    <w:rsid w:val="004668FB"/>
    <w:rsid w:val="004745F7"/>
    <w:rsid w:val="00477B1D"/>
    <w:rsid w:val="00482F0D"/>
    <w:rsid w:val="004874F8"/>
    <w:rsid w:val="00492021"/>
    <w:rsid w:val="00493463"/>
    <w:rsid w:val="0049489F"/>
    <w:rsid w:val="00494F58"/>
    <w:rsid w:val="004953B0"/>
    <w:rsid w:val="00495823"/>
    <w:rsid w:val="00497360"/>
    <w:rsid w:val="004A6B5E"/>
    <w:rsid w:val="004B27A8"/>
    <w:rsid w:val="004C3827"/>
    <w:rsid w:val="004D10E6"/>
    <w:rsid w:val="004D2858"/>
    <w:rsid w:val="004D3777"/>
    <w:rsid w:val="004D4CCA"/>
    <w:rsid w:val="004E453E"/>
    <w:rsid w:val="004E64A1"/>
    <w:rsid w:val="004F4801"/>
    <w:rsid w:val="004F4F18"/>
    <w:rsid w:val="00501EAE"/>
    <w:rsid w:val="00502B98"/>
    <w:rsid w:val="005032F7"/>
    <w:rsid w:val="005113BB"/>
    <w:rsid w:val="00521E9D"/>
    <w:rsid w:val="00522D69"/>
    <w:rsid w:val="005241BC"/>
    <w:rsid w:val="00525BBC"/>
    <w:rsid w:val="00526397"/>
    <w:rsid w:val="005305A8"/>
    <w:rsid w:val="0053230D"/>
    <w:rsid w:val="00534CD6"/>
    <w:rsid w:val="005362C7"/>
    <w:rsid w:val="00540748"/>
    <w:rsid w:val="005469BD"/>
    <w:rsid w:val="00552E46"/>
    <w:rsid w:val="00553B44"/>
    <w:rsid w:val="00555514"/>
    <w:rsid w:val="005569B3"/>
    <w:rsid w:val="00570C90"/>
    <w:rsid w:val="00582E21"/>
    <w:rsid w:val="005A255A"/>
    <w:rsid w:val="005A44BE"/>
    <w:rsid w:val="005B21AE"/>
    <w:rsid w:val="005B580D"/>
    <w:rsid w:val="005B5B0C"/>
    <w:rsid w:val="005B72E0"/>
    <w:rsid w:val="005C39A7"/>
    <w:rsid w:val="005C3F9C"/>
    <w:rsid w:val="005C77C7"/>
    <w:rsid w:val="005C7A5F"/>
    <w:rsid w:val="005D00F1"/>
    <w:rsid w:val="005D0225"/>
    <w:rsid w:val="005D31C8"/>
    <w:rsid w:val="005E1BEA"/>
    <w:rsid w:val="005E4C91"/>
    <w:rsid w:val="005E6FCE"/>
    <w:rsid w:val="005F677C"/>
    <w:rsid w:val="005F6C58"/>
    <w:rsid w:val="005F6DC1"/>
    <w:rsid w:val="0060346B"/>
    <w:rsid w:val="00603D61"/>
    <w:rsid w:val="00610B5D"/>
    <w:rsid w:val="006124D3"/>
    <w:rsid w:val="00614C6F"/>
    <w:rsid w:val="00623309"/>
    <w:rsid w:val="006264D1"/>
    <w:rsid w:val="006338F6"/>
    <w:rsid w:val="006344C5"/>
    <w:rsid w:val="0063580C"/>
    <w:rsid w:val="00635E07"/>
    <w:rsid w:val="0064444D"/>
    <w:rsid w:val="006460C9"/>
    <w:rsid w:val="00647959"/>
    <w:rsid w:val="00661D2A"/>
    <w:rsid w:val="006638D9"/>
    <w:rsid w:val="0066447C"/>
    <w:rsid w:val="006706CE"/>
    <w:rsid w:val="006711D0"/>
    <w:rsid w:val="00671C2A"/>
    <w:rsid w:val="00671CC6"/>
    <w:rsid w:val="00676D71"/>
    <w:rsid w:val="00677E33"/>
    <w:rsid w:val="00682F37"/>
    <w:rsid w:val="00683C6E"/>
    <w:rsid w:val="006843A7"/>
    <w:rsid w:val="006904C8"/>
    <w:rsid w:val="0069092A"/>
    <w:rsid w:val="00690A95"/>
    <w:rsid w:val="0069583B"/>
    <w:rsid w:val="006A0234"/>
    <w:rsid w:val="006A23D3"/>
    <w:rsid w:val="006A297E"/>
    <w:rsid w:val="006A33FE"/>
    <w:rsid w:val="006B2DD1"/>
    <w:rsid w:val="006B2EF5"/>
    <w:rsid w:val="006B74C1"/>
    <w:rsid w:val="006C0D6A"/>
    <w:rsid w:val="006C13E2"/>
    <w:rsid w:val="006C1644"/>
    <w:rsid w:val="006C56C1"/>
    <w:rsid w:val="006C7369"/>
    <w:rsid w:val="006D513E"/>
    <w:rsid w:val="006E0041"/>
    <w:rsid w:val="006E21A8"/>
    <w:rsid w:val="006E5E4D"/>
    <w:rsid w:val="006E74A8"/>
    <w:rsid w:val="006F1B4E"/>
    <w:rsid w:val="007021BD"/>
    <w:rsid w:val="0070628A"/>
    <w:rsid w:val="00706EC6"/>
    <w:rsid w:val="007104FE"/>
    <w:rsid w:val="00715FCA"/>
    <w:rsid w:val="00717C14"/>
    <w:rsid w:val="00723CFC"/>
    <w:rsid w:val="00724379"/>
    <w:rsid w:val="007246B5"/>
    <w:rsid w:val="00724D1C"/>
    <w:rsid w:val="00727975"/>
    <w:rsid w:val="00730783"/>
    <w:rsid w:val="0074213A"/>
    <w:rsid w:val="0075308F"/>
    <w:rsid w:val="007531DB"/>
    <w:rsid w:val="0075454F"/>
    <w:rsid w:val="00755FD9"/>
    <w:rsid w:val="00760683"/>
    <w:rsid w:val="00763A0F"/>
    <w:rsid w:val="007724C4"/>
    <w:rsid w:val="00780AA3"/>
    <w:rsid w:val="007810C1"/>
    <w:rsid w:val="007820E9"/>
    <w:rsid w:val="00790AFA"/>
    <w:rsid w:val="00792A0D"/>
    <w:rsid w:val="00793949"/>
    <w:rsid w:val="007939DA"/>
    <w:rsid w:val="00794584"/>
    <w:rsid w:val="00794F00"/>
    <w:rsid w:val="007A3511"/>
    <w:rsid w:val="007B068C"/>
    <w:rsid w:val="007B0F4B"/>
    <w:rsid w:val="007B1703"/>
    <w:rsid w:val="007B2A4D"/>
    <w:rsid w:val="007B2E1A"/>
    <w:rsid w:val="007B6600"/>
    <w:rsid w:val="007C000F"/>
    <w:rsid w:val="007C1C28"/>
    <w:rsid w:val="007C2DCF"/>
    <w:rsid w:val="007D0F5B"/>
    <w:rsid w:val="007D378F"/>
    <w:rsid w:val="007D6F34"/>
    <w:rsid w:val="007E207C"/>
    <w:rsid w:val="007F7C72"/>
    <w:rsid w:val="00801D4E"/>
    <w:rsid w:val="0080473D"/>
    <w:rsid w:val="00805BDB"/>
    <w:rsid w:val="00806F93"/>
    <w:rsid w:val="0081202B"/>
    <w:rsid w:val="00813F53"/>
    <w:rsid w:val="00821E44"/>
    <w:rsid w:val="00824309"/>
    <w:rsid w:val="00824A6B"/>
    <w:rsid w:val="0082525C"/>
    <w:rsid w:val="00826060"/>
    <w:rsid w:val="00826BB8"/>
    <w:rsid w:val="00826DC5"/>
    <w:rsid w:val="00827D3A"/>
    <w:rsid w:val="00831E54"/>
    <w:rsid w:val="008320F7"/>
    <w:rsid w:val="00835D8A"/>
    <w:rsid w:val="00836B6B"/>
    <w:rsid w:val="00841B3D"/>
    <w:rsid w:val="00844157"/>
    <w:rsid w:val="00852108"/>
    <w:rsid w:val="0085334E"/>
    <w:rsid w:val="008673F1"/>
    <w:rsid w:val="008720CE"/>
    <w:rsid w:val="0087214D"/>
    <w:rsid w:val="008755DE"/>
    <w:rsid w:val="00875A99"/>
    <w:rsid w:val="00884F2F"/>
    <w:rsid w:val="008876CF"/>
    <w:rsid w:val="008934E2"/>
    <w:rsid w:val="00893B83"/>
    <w:rsid w:val="008A0130"/>
    <w:rsid w:val="008A7C3B"/>
    <w:rsid w:val="008B0AED"/>
    <w:rsid w:val="008B7256"/>
    <w:rsid w:val="008C4980"/>
    <w:rsid w:val="008D07DE"/>
    <w:rsid w:val="008D09FF"/>
    <w:rsid w:val="008D31D0"/>
    <w:rsid w:val="008E04D5"/>
    <w:rsid w:val="008E1226"/>
    <w:rsid w:val="008E1658"/>
    <w:rsid w:val="008E60A4"/>
    <w:rsid w:val="008E7442"/>
    <w:rsid w:val="008F4338"/>
    <w:rsid w:val="008F6DC0"/>
    <w:rsid w:val="008F6E8E"/>
    <w:rsid w:val="008F7FCB"/>
    <w:rsid w:val="00901973"/>
    <w:rsid w:val="00903CD8"/>
    <w:rsid w:val="009072F8"/>
    <w:rsid w:val="00907FEC"/>
    <w:rsid w:val="009138EC"/>
    <w:rsid w:val="00913C2C"/>
    <w:rsid w:val="00921D06"/>
    <w:rsid w:val="00922D8F"/>
    <w:rsid w:val="009245E8"/>
    <w:rsid w:val="0092710D"/>
    <w:rsid w:val="009320A8"/>
    <w:rsid w:val="00940908"/>
    <w:rsid w:val="009428EB"/>
    <w:rsid w:val="00944655"/>
    <w:rsid w:val="0094694E"/>
    <w:rsid w:val="00946C3B"/>
    <w:rsid w:val="00947042"/>
    <w:rsid w:val="00950182"/>
    <w:rsid w:val="00951303"/>
    <w:rsid w:val="00952047"/>
    <w:rsid w:val="00952B07"/>
    <w:rsid w:val="0096178F"/>
    <w:rsid w:val="009643B6"/>
    <w:rsid w:val="00972D85"/>
    <w:rsid w:val="0097640F"/>
    <w:rsid w:val="00976C89"/>
    <w:rsid w:val="00977B31"/>
    <w:rsid w:val="00981915"/>
    <w:rsid w:val="0098459F"/>
    <w:rsid w:val="00985E49"/>
    <w:rsid w:val="00986A46"/>
    <w:rsid w:val="009914B3"/>
    <w:rsid w:val="00992D89"/>
    <w:rsid w:val="009931B2"/>
    <w:rsid w:val="009A43CE"/>
    <w:rsid w:val="009A7957"/>
    <w:rsid w:val="009A796D"/>
    <w:rsid w:val="009B0886"/>
    <w:rsid w:val="009B28BF"/>
    <w:rsid w:val="009B2C9D"/>
    <w:rsid w:val="009B7419"/>
    <w:rsid w:val="009C1C14"/>
    <w:rsid w:val="009C2F02"/>
    <w:rsid w:val="009C51C4"/>
    <w:rsid w:val="009E1C15"/>
    <w:rsid w:val="009E2A25"/>
    <w:rsid w:val="009E46A8"/>
    <w:rsid w:val="009E7C9D"/>
    <w:rsid w:val="009F1156"/>
    <w:rsid w:val="009F2BCE"/>
    <w:rsid w:val="009F3B13"/>
    <w:rsid w:val="009F3FC8"/>
    <w:rsid w:val="009F4A75"/>
    <w:rsid w:val="009F71DB"/>
    <w:rsid w:val="00A0104E"/>
    <w:rsid w:val="00A036BF"/>
    <w:rsid w:val="00A11638"/>
    <w:rsid w:val="00A12843"/>
    <w:rsid w:val="00A15C41"/>
    <w:rsid w:val="00A179AB"/>
    <w:rsid w:val="00A2298C"/>
    <w:rsid w:val="00A23406"/>
    <w:rsid w:val="00A2528F"/>
    <w:rsid w:val="00A256F6"/>
    <w:rsid w:val="00A27733"/>
    <w:rsid w:val="00A27D21"/>
    <w:rsid w:val="00A30399"/>
    <w:rsid w:val="00A32B1C"/>
    <w:rsid w:val="00A35668"/>
    <w:rsid w:val="00A40F2E"/>
    <w:rsid w:val="00A415E0"/>
    <w:rsid w:val="00A41E7C"/>
    <w:rsid w:val="00A435ED"/>
    <w:rsid w:val="00A4717B"/>
    <w:rsid w:val="00A5623E"/>
    <w:rsid w:val="00A57AFD"/>
    <w:rsid w:val="00A62362"/>
    <w:rsid w:val="00A62FEA"/>
    <w:rsid w:val="00A6524A"/>
    <w:rsid w:val="00A6701C"/>
    <w:rsid w:val="00A71C5D"/>
    <w:rsid w:val="00A73059"/>
    <w:rsid w:val="00A743FA"/>
    <w:rsid w:val="00A75DFF"/>
    <w:rsid w:val="00A841AA"/>
    <w:rsid w:val="00A93444"/>
    <w:rsid w:val="00A94CFB"/>
    <w:rsid w:val="00A95776"/>
    <w:rsid w:val="00A95DC1"/>
    <w:rsid w:val="00AB1677"/>
    <w:rsid w:val="00AB3516"/>
    <w:rsid w:val="00AC140F"/>
    <w:rsid w:val="00AC155F"/>
    <w:rsid w:val="00AC23E7"/>
    <w:rsid w:val="00AD6E44"/>
    <w:rsid w:val="00AE3697"/>
    <w:rsid w:val="00AE5777"/>
    <w:rsid w:val="00AF4486"/>
    <w:rsid w:val="00B015D4"/>
    <w:rsid w:val="00B0398F"/>
    <w:rsid w:val="00B03A3E"/>
    <w:rsid w:val="00B04CC2"/>
    <w:rsid w:val="00B12E21"/>
    <w:rsid w:val="00B132CA"/>
    <w:rsid w:val="00B17564"/>
    <w:rsid w:val="00B24021"/>
    <w:rsid w:val="00B3527D"/>
    <w:rsid w:val="00B35EFB"/>
    <w:rsid w:val="00B44EE8"/>
    <w:rsid w:val="00B454D6"/>
    <w:rsid w:val="00B55AFB"/>
    <w:rsid w:val="00B63B21"/>
    <w:rsid w:val="00B70B3F"/>
    <w:rsid w:val="00B70F30"/>
    <w:rsid w:val="00B75707"/>
    <w:rsid w:val="00B8092B"/>
    <w:rsid w:val="00B80CAA"/>
    <w:rsid w:val="00B850C4"/>
    <w:rsid w:val="00B86730"/>
    <w:rsid w:val="00B87439"/>
    <w:rsid w:val="00B87883"/>
    <w:rsid w:val="00B952C1"/>
    <w:rsid w:val="00BA15DF"/>
    <w:rsid w:val="00BA6CB2"/>
    <w:rsid w:val="00BB5F1B"/>
    <w:rsid w:val="00BB70E6"/>
    <w:rsid w:val="00BC0459"/>
    <w:rsid w:val="00BC04DD"/>
    <w:rsid w:val="00BC1B43"/>
    <w:rsid w:val="00BC5DA7"/>
    <w:rsid w:val="00BC6774"/>
    <w:rsid w:val="00BE3F66"/>
    <w:rsid w:val="00BE70E4"/>
    <w:rsid w:val="00BF14B2"/>
    <w:rsid w:val="00BF2813"/>
    <w:rsid w:val="00C04B98"/>
    <w:rsid w:val="00C064BF"/>
    <w:rsid w:val="00C0739F"/>
    <w:rsid w:val="00C10A19"/>
    <w:rsid w:val="00C10F52"/>
    <w:rsid w:val="00C156AD"/>
    <w:rsid w:val="00C162D4"/>
    <w:rsid w:val="00C205EA"/>
    <w:rsid w:val="00C20DB4"/>
    <w:rsid w:val="00C242AE"/>
    <w:rsid w:val="00C24578"/>
    <w:rsid w:val="00C25EAF"/>
    <w:rsid w:val="00C26F19"/>
    <w:rsid w:val="00C275E1"/>
    <w:rsid w:val="00C279F6"/>
    <w:rsid w:val="00C32F59"/>
    <w:rsid w:val="00C34B9C"/>
    <w:rsid w:val="00C354A5"/>
    <w:rsid w:val="00C3644A"/>
    <w:rsid w:val="00C40997"/>
    <w:rsid w:val="00C43C5D"/>
    <w:rsid w:val="00C468EF"/>
    <w:rsid w:val="00C56D71"/>
    <w:rsid w:val="00C60E72"/>
    <w:rsid w:val="00C63004"/>
    <w:rsid w:val="00C631BC"/>
    <w:rsid w:val="00C63EC8"/>
    <w:rsid w:val="00C659FB"/>
    <w:rsid w:val="00C66811"/>
    <w:rsid w:val="00C738A1"/>
    <w:rsid w:val="00C741AF"/>
    <w:rsid w:val="00C83755"/>
    <w:rsid w:val="00C83792"/>
    <w:rsid w:val="00C84E1E"/>
    <w:rsid w:val="00CA4F7E"/>
    <w:rsid w:val="00CA6D95"/>
    <w:rsid w:val="00CA78B3"/>
    <w:rsid w:val="00CA7A68"/>
    <w:rsid w:val="00CB1273"/>
    <w:rsid w:val="00CB40DC"/>
    <w:rsid w:val="00CC5B71"/>
    <w:rsid w:val="00CC5F99"/>
    <w:rsid w:val="00CD4FFB"/>
    <w:rsid w:val="00CD5E93"/>
    <w:rsid w:val="00CE2081"/>
    <w:rsid w:val="00CE60C9"/>
    <w:rsid w:val="00CE7AD9"/>
    <w:rsid w:val="00CF6ECF"/>
    <w:rsid w:val="00D02346"/>
    <w:rsid w:val="00D024C7"/>
    <w:rsid w:val="00D02995"/>
    <w:rsid w:val="00D04F41"/>
    <w:rsid w:val="00D0764B"/>
    <w:rsid w:val="00D20018"/>
    <w:rsid w:val="00D23F8B"/>
    <w:rsid w:val="00D27EAC"/>
    <w:rsid w:val="00D314AD"/>
    <w:rsid w:val="00D37195"/>
    <w:rsid w:val="00D4634D"/>
    <w:rsid w:val="00D50608"/>
    <w:rsid w:val="00D534BD"/>
    <w:rsid w:val="00D54E62"/>
    <w:rsid w:val="00D574A3"/>
    <w:rsid w:val="00D62F81"/>
    <w:rsid w:val="00D67495"/>
    <w:rsid w:val="00D75C91"/>
    <w:rsid w:val="00D815CD"/>
    <w:rsid w:val="00D84052"/>
    <w:rsid w:val="00D84863"/>
    <w:rsid w:val="00D963BC"/>
    <w:rsid w:val="00D96BE0"/>
    <w:rsid w:val="00DA10C4"/>
    <w:rsid w:val="00DA2157"/>
    <w:rsid w:val="00DA403F"/>
    <w:rsid w:val="00DA44AC"/>
    <w:rsid w:val="00DA4D05"/>
    <w:rsid w:val="00DB1159"/>
    <w:rsid w:val="00DB58AD"/>
    <w:rsid w:val="00DC3855"/>
    <w:rsid w:val="00DC5092"/>
    <w:rsid w:val="00DC6990"/>
    <w:rsid w:val="00DC7C4C"/>
    <w:rsid w:val="00DD6A5F"/>
    <w:rsid w:val="00DE39DA"/>
    <w:rsid w:val="00DF24B2"/>
    <w:rsid w:val="00DF3BD0"/>
    <w:rsid w:val="00DF6566"/>
    <w:rsid w:val="00E0743C"/>
    <w:rsid w:val="00E11674"/>
    <w:rsid w:val="00E1451E"/>
    <w:rsid w:val="00E1583B"/>
    <w:rsid w:val="00E31B8C"/>
    <w:rsid w:val="00E34480"/>
    <w:rsid w:val="00E37556"/>
    <w:rsid w:val="00E37A96"/>
    <w:rsid w:val="00E401A1"/>
    <w:rsid w:val="00E43297"/>
    <w:rsid w:val="00E4393A"/>
    <w:rsid w:val="00E50EE8"/>
    <w:rsid w:val="00E518D6"/>
    <w:rsid w:val="00E62E0B"/>
    <w:rsid w:val="00E6666C"/>
    <w:rsid w:val="00E6668D"/>
    <w:rsid w:val="00E67826"/>
    <w:rsid w:val="00E75E08"/>
    <w:rsid w:val="00E765B8"/>
    <w:rsid w:val="00E826A0"/>
    <w:rsid w:val="00E84F41"/>
    <w:rsid w:val="00E91468"/>
    <w:rsid w:val="00E93BD2"/>
    <w:rsid w:val="00E978B1"/>
    <w:rsid w:val="00EA1C3C"/>
    <w:rsid w:val="00EA44A7"/>
    <w:rsid w:val="00EA4BDF"/>
    <w:rsid w:val="00EA6918"/>
    <w:rsid w:val="00EB0D0E"/>
    <w:rsid w:val="00EB67DA"/>
    <w:rsid w:val="00EB6B5E"/>
    <w:rsid w:val="00EC2084"/>
    <w:rsid w:val="00EC31F6"/>
    <w:rsid w:val="00ED2D18"/>
    <w:rsid w:val="00ED30E0"/>
    <w:rsid w:val="00ED5F4C"/>
    <w:rsid w:val="00ED7205"/>
    <w:rsid w:val="00EE0DB2"/>
    <w:rsid w:val="00EE5CCB"/>
    <w:rsid w:val="00EF1D3C"/>
    <w:rsid w:val="00EF4592"/>
    <w:rsid w:val="00EF4823"/>
    <w:rsid w:val="00EF51FD"/>
    <w:rsid w:val="00F003C3"/>
    <w:rsid w:val="00F01CA5"/>
    <w:rsid w:val="00F11E8D"/>
    <w:rsid w:val="00F1498C"/>
    <w:rsid w:val="00F1658A"/>
    <w:rsid w:val="00F1660B"/>
    <w:rsid w:val="00F241C8"/>
    <w:rsid w:val="00F2785E"/>
    <w:rsid w:val="00F30B3A"/>
    <w:rsid w:val="00F4292B"/>
    <w:rsid w:val="00F4480C"/>
    <w:rsid w:val="00F53412"/>
    <w:rsid w:val="00F63234"/>
    <w:rsid w:val="00F653B4"/>
    <w:rsid w:val="00F65AD8"/>
    <w:rsid w:val="00F7367B"/>
    <w:rsid w:val="00F7562B"/>
    <w:rsid w:val="00F77819"/>
    <w:rsid w:val="00F8072C"/>
    <w:rsid w:val="00F81184"/>
    <w:rsid w:val="00F83555"/>
    <w:rsid w:val="00F86EF9"/>
    <w:rsid w:val="00F9196A"/>
    <w:rsid w:val="00F92DD7"/>
    <w:rsid w:val="00F952CC"/>
    <w:rsid w:val="00F95F48"/>
    <w:rsid w:val="00F96D9E"/>
    <w:rsid w:val="00FA0A76"/>
    <w:rsid w:val="00FA1E23"/>
    <w:rsid w:val="00FA5587"/>
    <w:rsid w:val="00FA6EA0"/>
    <w:rsid w:val="00FB3FC7"/>
    <w:rsid w:val="00FB668C"/>
    <w:rsid w:val="00FC5852"/>
    <w:rsid w:val="00FD4BB7"/>
    <w:rsid w:val="00FE20F2"/>
    <w:rsid w:val="00FE282E"/>
    <w:rsid w:val="00FE3FE9"/>
    <w:rsid w:val="00FE6651"/>
    <w:rsid w:val="00FF49A9"/>
    <w:rsid w:val="00FF4C63"/>
    <w:rsid w:val="00FF600D"/>
    <w:rsid w:val="0A342F28"/>
    <w:rsid w:val="0B91137A"/>
    <w:rsid w:val="1425632A"/>
    <w:rsid w:val="1797432E"/>
    <w:rsid w:val="1C5648D0"/>
    <w:rsid w:val="21B46321"/>
    <w:rsid w:val="2EDD1C4F"/>
    <w:rsid w:val="36E0725B"/>
    <w:rsid w:val="39237490"/>
    <w:rsid w:val="3F9410E8"/>
    <w:rsid w:val="46961DE3"/>
    <w:rsid w:val="473F5DDD"/>
    <w:rsid w:val="4D136399"/>
    <w:rsid w:val="4DEB33DA"/>
    <w:rsid w:val="504D5781"/>
    <w:rsid w:val="51556218"/>
    <w:rsid w:val="5A1F5D26"/>
    <w:rsid w:val="6A546842"/>
    <w:rsid w:val="7A700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796E8"/>
  <w15:docId w15:val="{80EB0C24-0CB2-4926-A4A1-1C65CE8D9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utoRedefine/>
    <w:qFormat/>
    <w:pPr>
      <w:spacing w:after="160" w:line="259" w:lineRule="auto"/>
    </w:pPr>
    <w:rPr>
      <w:kern w:val="2"/>
      <w:sz w:val="22"/>
      <w:szCs w:val="22"/>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autoRedefine/>
    <w:uiPriority w:val="99"/>
    <w:unhideWhenUsed/>
    <w:qFormat/>
    <w:pPr>
      <w:spacing w:line="240" w:lineRule="auto"/>
    </w:pPr>
    <w:rPr>
      <w:sz w:val="20"/>
      <w:szCs w:val="20"/>
    </w:rPr>
  </w:style>
  <w:style w:type="paragraph" w:styleId="a6">
    <w:name w:val="Balloon Text"/>
    <w:basedOn w:val="a0"/>
    <w:link w:val="a7"/>
    <w:autoRedefine/>
    <w:uiPriority w:val="99"/>
    <w:semiHidden/>
    <w:unhideWhenUsed/>
    <w:qFormat/>
    <w:pPr>
      <w:spacing w:after="0" w:line="240" w:lineRule="auto"/>
    </w:pPr>
    <w:rPr>
      <w:sz w:val="18"/>
      <w:szCs w:val="18"/>
    </w:rPr>
  </w:style>
  <w:style w:type="paragraph" w:styleId="a8">
    <w:name w:val="footer"/>
    <w:basedOn w:val="a0"/>
    <w:link w:val="a9"/>
    <w:autoRedefine/>
    <w:uiPriority w:val="99"/>
    <w:unhideWhenUsed/>
    <w:qFormat/>
    <w:pPr>
      <w:tabs>
        <w:tab w:val="center" w:pos="4680"/>
        <w:tab w:val="right" w:pos="9360"/>
      </w:tabs>
      <w:spacing w:after="0" w:line="240" w:lineRule="auto"/>
    </w:pPr>
  </w:style>
  <w:style w:type="paragraph" w:styleId="aa">
    <w:name w:val="header"/>
    <w:basedOn w:val="a0"/>
    <w:link w:val="ab"/>
    <w:autoRedefine/>
    <w:uiPriority w:val="99"/>
    <w:unhideWhenUsed/>
    <w:qFormat/>
    <w:pPr>
      <w:tabs>
        <w:tab w:val="center" w:pos="4680"/>
        <w:tab w:val="right" w:pos="9360"/>
      </w:tabs>
      <w:spacing w:after="0" w:line="240" w:lineRule="auto"/>
    </w:pPr>
  </w:style>
  <w:style w:type="paragraph" w:styleId="TOC1">
    <w:name w:val="toc 1"/>
    <w:basedOn w:val="a0"/>
    <w:next w:val="a0"/>
    <w:autoRedefine/>
    <w:uiPriority w:val="39"/>
    <w:qFormat/>
    <w:rsid w:val="00436BF3"/>
    <w:pPr>
      <w:widowControl w:val="0"/>
      <w:tabs>
        <w:tab w:val="right" w:leader="dot" w:pos="8296"/>
      </w:tabs>
      <w:spacing w:before="156" w:after="156" w:line="240" w:lineRule="auto"/>
      <w:jc w:val="both"/>
    </w:pPr>
    <w:rPr>
      <w:rFonts w:ascii="Times New Roman" w:eastAsia="黑体" w:hAnsi="Times New Roman" w:cs="Times New Roman"/>
      <w:sz w:val="32"/>
      <w:szCs w:val="32"/>
      <w14:ligatures w14:val="none"/>
    </w:rPr>
  </w:style>
  <w:style w:type="paragraph" w:styleId="TOC2">
    <w:name w:val="toc 2"/>
    <w:basedOn w:val="a0"/>
    <w:next w:val="a0"/>
    <w:autoRedefine/>
    <w:uiPriority w:val="39"/>
    <w:qFormat/>
    <w:pPr>
      <w:widowControl w:val="0"/>
      <w:spacing w:after="0" w:line="240" w:lineRule="auto"/>
      <w:ind w:leftChars="200" w:left="420"/>
      <w:jc w:val="both"/>
    </w:pPr>
    <w:rPr>
      <w:sz w:val="21"/>
      <w14:ligatures w14:val="none"/>
    </w:rPr>
  </w:style>
  <w:style w:type="paragraph" w:styleId="ac">
    <w:name w:val="Normal (Web)"/>
    <w:basedOn w:val="a0"/>
    <w:autoRedefine/>
    <w:uiPriority w:val="99"/>
    <w:unhideWhenUsed/>
    <w:qFormat/>
    <w:pPr>
      <w:spacing w:before="100" w:beforeAutospacing="1" w:after="100" w:afterAutospacing="1" w:line="240" w:lineRule="auto"/>
    </w:pPr>
    <w:rPr>
      <w:rFonts w:ascii="宋体" w:eastAsia="宋体" w:hAnsi="宋体" w:cs="宋体"/>
      <w:kern w:val="0"/>
      <w:sz w:val="24"/>
      <w:szCs w:val="24"/>
      <w14:ligatures w14:val="none"/>
    </w:rPr>
  </w:style>
  <w:style w:type="paragraph" w:styleId="ad">
    <w:name w:val="annotation subject"/>
    <w:basedOn w:val="a4"/>
    <w:next w:val="a4"/>
    <w:link w:val="ae"/>
    <w:autoRedefine/>
    <w:uiPriority w:val="99"/>
    <w:semiHidden/>
    <w:unhideWhenUsed/>
    <w:qFormat/>
    <w:rPr>
      <w:b/>
      <w:bCs/>
    </w:rPr>
  </w:style>
  <w:style w:type="table" w:styleId="af">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1"/>
    <w:autoRedefine/>
    <w:uiPriority w:val="99"/>
    <w:unhideWhenUsed/>
    <w:qFormat/>
    <w:rPr>
      <w:color w:val="0563C1" w:themeColor="hyperlink"/>
      <w:u w:val="single"/>
    </w:rPr>
  </w:style>
  <w:style w:type="character" w:styleId="af1">
    <w:name w:val="annotation reference"/>
    <w:basedOn w:val="a1"/>
    <w:uiPriority w:val="99"/>
    <w:semiHidden/>
    <w:unhideWhenUsed/>
    <w:qFormat/>
    <w:rPr>
      <w:sz w:val="16"/>
      <w:szCs w:val="16"/>
    </w:rPr>
  </w:style>
  <w:style w:type="character" w:customStyle="1" w:styleId="ab">
    <w:name w:val="页眉 字符"/>
    <w:basedOn w:val="a1"/>
    <w:link w:val="aa"/>
    <w:autoRedefine/>
    <w:uiPriority w:val="99"/>
    <w:qFormat/>
  </w:style>
  <w:style w:type="character" w:customStyle="1" w:styleId="a9">
    <w:name w:val="页脚 字符"/>
    <w:basedOn w:val="a1"/>
    <w:link w:val="a8"/>
    <w:autoRedefine/>
    <w:uiPriority w:val="99"/>
    <w:qFormat/>
  </w:style>
  <w:style w:type="character" w:customStyle="1" w:styleId="a5">
    <w:name w:val="批注文字 字符"/>
    <w:basedOn w:val="a1"/>
    <w:link w:val="a4"/>
    <w:autoRedefine/>
    <w:uiPriority w:val="99"/>
    <w:qFormat/>
    <w:rPr>
      <w:sz w:val="20"/>
      <w:szCs w:val="20"/>
    </w:rPr>
  </w:style>
  <w:style w:type="character" w:customStyle="1" w:styleId="ae">
    <w:name w:val="批注主题 字符"/>
    <w:basedOn w:val="a5"/>
    <w:link w:val="ad"/>
    <w:autoRedefine/>
    <w:uiPriority w:val="99"/>
    <w:semiHidden/>
    <w:qFormat/>
    <w:rPr>
      <w:b/>
      <w:bCs/>
      <w:sz w:val="20"/>
      <w:szCs w:val="20"/>
    </w:rPr>
  </w:style>
  <w:style w:type="paragraph" w:customStyle="1" w:styleId="a">
    <w:name w:val="列项——（一级）"/>
    <w:autoRedefine/>
    <w:qFormat/>
    <w:pPr>
      <w:widowControl w:val="0"/>
      <w:numPr>
        <w:numId w:val="1"/>
      </w:numPr>
      <w:spacing w:after="160" w:line="259" w:lineRule="auto"/>
      <w:jc w:val="both"/>
    </w:pPr>
    <w:rPr>
      <w:rFonts w:ascii="宋体" w:eastAsia="宋体" w:hAnsi="Times New Roman" w:cs="Times New Roman"/>
      <w:sz w:val="21"/>
    </w:rPr>
  </w:style>
  <w:style w:type="character" w:customStyle="1" w:styleId="a7">
    <w:name w:val="批注框文本 字符"/>
    <w:basedOn w:val="a1"/>
    <w:link w:val="a6"/>
    <w:autoRedefine/>
    <w:uiPriority w:val="99"/>
    <w:semiHidden/>
    <w:qFormat/>
    <w:rPr>
      <w:sz w:val="18"/>
      <w:szCs w:val="18"/>
    </w:rPr>
  </w:style>
  <w:style w:type="paragraph" w:customStyle="1" w:styleId="ListParagraph1">
    <w:name w:val="List Paragraph1"/>
    <w:basedOn w:val="a0"/>
    <w:autoRedefine/>
    <w:qFormat/>
    <w:pPr>
      <w:widowControl w:val="0"/>
      <w:spacing w:line="256" w:lineRule="auto"/>
      <w:ind w:left="720"/>
      <w:contextualSpacing/>
      <w:jc w:val="both"/>
    </w:pPr>
    <w:rPr>
      <w:rFonts w:ascii="Calibri" w:eastAsia="宋体" w:hAnsi="Calibri" w:cs="Times New Roman"/>
      <w:sz w:val="21"/>
      <w:szCs w:val="21"/>
      <w14:ligatures w14:val="none"/>
    </w:rPr>
  </w:style>
  <w:style w:type="paragraph" w:customStyle="1" w:styleId="1-1">
    <w:name w:val="正文1-1"/>
    <w:autoRedefine/>
    <w:qFormat/>
    <w:pPr>
      <w:spacing w:line="300" w:lineRule="auto"/>
      <w:ind w:firstLineChars="200" w:firstLine="640"/>
    </w:pPr>
    <w:rPr>
      <w:rFonts w:ascii="Times New Roman" w:eastAsia="宋体" w:hAnsi="Times New Roman" w:cs="Times New Roman"/>
      <w:sz w:val="21"/>
    </w:rPr>
  </w:style>
  <w:style w:type="paragraph" w:styleId="af2">
    <w:name w:val="List Paragraph"/>
    <w:basedOn w:val="a0"/>
    <w:autoRedefine/>
    <w:uiPriority w:val="34"/>
    <w:qFormat/>
    <w:pPr>
      <w:ind w:firstLineChars="200" w:firstLine="420"/>
    </w:pPr>
  </w:style>
  <w:style w:type="paragraph" w:styleId="af3">
    <w:name w:val="Revision"/>
    <w:hidden/>
    <w:uiPriority w:val="99"/>
    <w:semiHidden/>
    <w:rsid w:val="0085334E"/>
    <w:rPr>
      <w:kern w:val="2"/>
      <w:sz w:val="22"/>
      <w:szCs w:val="22"/>
      <w14:ligatures w14:val="standardContextual"/>
    </w:rPr>
  </w:style>
  <w:style w:type="character" w:styleId="af4">
    <w:name w:val="Strong"/>
    <w:basedOn w:val="a1"/>
    <w:uiPriority w:val="22"/>
    <w:qFormat/>
    <w:rsid w:val="000451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485865">
      <w:bodyDiv w:val="1"/>
      <w:marLeft w:val="0"/>
      <w:marRight w:val="0"/>
      <w:marTop w:val="0"/>
      <w:marBottom w:val="0"/>
      <w:divBdr>
        <w:top w:val="none" w:sz="0" w:space="0" w:color="auto"/>
        <w:left w:val="none" w:sz="0" w:space="0" w:color="auto"/>
        <w:bottom w:val="none" w:sz="0" w:space="0" w:color="auto"/>
        <w:right w:val="none" w:sz="0" w:space="0" w:color="auto"/>
      </w:divBdr>
    </w:div>
    <w:div w:id="558248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CB0F6F-0B7F-47D2-945F-CAC24095A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333</Words>
  <Characters>1900</Characters>
  <Application>Microsoft Office Word</Application>
  <DocSecurity>0</DocSecurity>
  <Lines>15</Lines>
  <Paragraphs>4</Paragraphs>
  <ScaleCrop>false</ScaleCrop>
  <Company>微软中国</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XING Ted</dc:creator>
  <cp:lastModifiedBy>Feiya Luo</cp:lastModifiedBy>
  <cp:revision>45</cp:revision>
  <cp:lastPrinted>2024-06-06T07:00:00Z</cp:lastPrinted>
  <dcterms:created xsi:type="dcterms:W3CDTF">2024-06-05T04:06:00Z</dcterms:created>
  <dcterms:modified xsi:type="dcterms:W3CDTF">2024-06-28T00:31:00Z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#008000,9,arial</vt:lpwstr>
  </property>
  <property fmtid="{D5CDD505-2E9C-101B-9397-08002B2CF9AE}" pid="4" name="ClassificationContentMarkingFooterText">
    <vt:lpwstr>C1 - Internal use</vt:lpwstr>
  </property>
  <property fmtid="{D5CDD505-2E9C-101B-9397-08002B2CF9AE}" pid="5" name="MSIP_Label_f43b7177-c66c-4b22-a350-7ee86f9a1e74_Enabled">
    <vt:lpwstr>true</vt:lpwstr>
  </property>
  <property fmtid="{D5CDD505-2E9C-101B-9397-08002B2CF9AE}" pid="6" name="MSIP_Label_f43b7177-c66c-4b22-a350-7ee86f9a1e74_SetDate">
    <vt:lpwstr>2024-02-24T14:28:53Z</vt:lpwstr>
  </property>
  <property fmtid="{D5CDD505-2E9C-101B-9397-08002B2CF9AE}" pid="7" name="MSIP_Label_f43b7177-c66c-4b22-a350-7ee86f9a1e74_Method">
    <vt:lpwstr>Standard</vt:lpwstr>
  </property>
  <property fmtid="{D5CDD505-2E9C-101B-9397-08002B2CF9AE}" pid="8" name="MSIP_Label_f43b7177-c66c-4b22-a350-7ee86f9a1e74_Name">
    <vt:lpwstr>C1_Internal use</vt:lpwstr>
  </property>
  <property fmtid="{D5CDD505-2E9C-101B-9397-08002B2CF9AE}" pid="9" name="MSIP_Label_f43b7177-c66c-4b22-a350-7ee86f9a1e74_SiteId">
    <vt:lpwstr>e4e1abd9-eac7-4a71-ab52-da5c998aa7ba</vt:lpwstr>
  </property>
  <property fmtid="{D5CDD505-2E9C-101B-9397-08002B2CF9AE}" pid="10" name="MSIP_Label_f43b7177-c66c-4b22-a350-7ee86f9a1e74_ActionId">
    <vt:lpwstr>5e08b829-e2da-4ece-8407-622481cbe686</vt:lpwstr>
  </property>
  <property fmtid="{D5CDD505-2E9C-101B-9397-08002B2CF9AE}" pid="11" name="MSIP_Label_f43b7177-c66c-4b22-a350-7ee86f9a1e74_ContentBits">
    <vt:lpwstr>2</vt:lpwstr>
  </property>
  <property fmtid="{D5CDD505-2E9C-101B-9397-08002B2CF9AE}" pid="12" name="KSOProductBuildVer">
    <vt:lpwstr>2052-12.1.0.16729</vt:lpwstr>
  </property>
  <property fmtid="{D5CDD505-2E9C-101B-9397-08002B2CF9AE}" pid="13" name="ICV">
    <vt:lpwstr>6765B36DDC6D4AB592C8BD2F516D4534_13</vt:lpwstr>
  </property>
</Properties>
</file>